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8486" w14:textId="6D087B71" w:rsidR="00E64CD6" w:rsidRPr="007D082C" w:rsidRDefault="00601F38" w:rsidP="00580E3C">
      <w:pPr>
        <w:shd w:val="clear" w:color="auto" w:fill="FFFFFF" w:themeFill="background1"/>
        <w:spacing w:after="240"/>
        <w:contextualSpacing/>
        <w:jc w:val="center"/>
        <w:rPr>
          <w:rFonts w:ascii="Times New Roman" w:hAnsi="Times New Roman" w:cs="Times New Roman"/>
          <w:b/>
          <w:bCs/>
          <w:u w:val="single"/>
        </w:rPr>
      </w:pPr>
      <w:r>
        <w:rPr>
          <w:noProof/>
          <w:color w:val="FF0000"/>
        </w:rPr>
        <w:drawing>
          <wp:anchor distT="0" distB="0" distL="114300" distR="114300" simplePos="0" relativeHeight="251658240" behindDoc="0" locked="0" layoutInCell="1" allowOverlap="1" wp14:anchorId="067AB404" wp14:editId="1AB456DD">
            <wp:simplePos x="0" y="0"/>
            <wp:positionH relativeFrom="margin">
              <wp:posOffset>7609205</wp:posOffset>
            </wp:positionH>
            <wp:positionV relativeFrom="paragraph">
              <wp:posOffset>-542925</wp:posOffset>
            </wp:positionV>
            <wp:extent cx="1647825" cy="60559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605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730">
        <w:rPr>
          <w:rFonts w:ascii="Times New Roman" w:hAnsi="Times New Roman" w:cs="Times New Roman"/>
          <w:b/>
          <w:bCs/>
          <w:u w:val="single"/>
        </w:rPr>
        <w:t>HYDROGEN</w:t>
      </w:r>
      <w:r w:rsidR="00F31BAC">
        <w:rPr>
          <w:rFonts w:ascii="Times New Roman" w:hAnsi="Times New Roman" w:cs="Times New Roman"/>
          <w:b/>
          <w:bCs/>
          <w:u w:val="single"/>
        </w:rPr>
        <w:t xml:space="preserve"> </w:t>
      </w:r>
      <w:r w:rsidR="00E64CD6" w:rsidRPr="007D082C">
        <w:rPr>
          <w:rFonts w:ascii="Times New Roman" w:hAnsi="Times New Roman" w:cs="Times New Roman"/>
          <w:b/>
          <w:bCs/>
          <w:u w:val="single"/>
        </w:rPr>
        <w:t xml:space="preserve">BREAKTHROUGH: </w:t>
      </w:r>
      <w:r w:rsidR="00E64CD6">
        <w:rPr>
          <w:rFonts w:ascii="Times New Roman" w:hAnsi="Times New Roman" w:cs="Times New Roman"/>
          <w:b/>
          <w:bCs/>
          <w:u w:val="single"/>
        </w:rPr>
        <w:t xml:space="preserve">PRIORITY </w:t>
      </w:r>
      <w:r w:rsidR="00F31BAC">
        <w:rPr>
          <w:rFonts w:ascii="Times New Roman" w:hAnsi="Times New Roman" w:cs="Times New Roman"/>
          <w:b/>
          <w:bCs/>
          <w:u w:val="single"/>
        </w:rPr>
        <w:t xml:space="preserve">INTERNATIONAL </w:t>
      </w:r>
      <w:r w:rsidR="00E64CD6">
        <w:rPr>
          <w:rFonts w:ascii="Times New Roman" w:hAnsi="Times New Roman" w:cs="Times New Roman"/>
          <w:b/>
          <w:bCs/>
          <w:u w:val="single"/>
        </w:rPr>
        <w:t>ACTIONS</w:t>
      </w:r>
      <w:r w:rsidR="00376B56">
        <w:rPr>
          <w:rFonts w:ascii="Times New Roman" w:hAnsi="Times New Roman" w:cs="Times New Roman"/>
          <w:b/>
          <w:bCs/>
          <w:u w:val="single"/>
        </w:rPr>
        <w:t xml:space="preserve"> </w:t>
      </w:r>
      <w:r w:rsidR="008A2866">
        <w:rPr>
          <w:rFonts w:ascii="Times New Roman" w:hAnsi="Times New Roman" w:cs="Times New Roman"/>
          <w:b/>
          <w:bCs/>
          <w:u w:val="single"/>
        </w:rPr>
        <w:t xml:space="preserve">FOR </w:t>
      </w:r>
      <w:r w:rsidR="001C237F">
        <w:rPr>
          <w:rFonts w:ascii="Times New Roman" w:hAnsi="Times New Roman" w:cs="Times New Roman"/>
          <w:b/>
          <w:bCs/>
          <w:u w:val="single"/>
        </w:rPr>
        <w:t>2023</w:t>
      </w:r>
    </w:p>
    <w:p w14:paraId="6DF0BEFC" w14:textId="77777777" w:rsidR="007D7936" w:rsidRPr="00AA1179" w:rsidRDefault="007D7936" w:rsidP="00AA1179">
      <w:pPr>
        <w:spacing w:after="0"/>
        <w:rPr>
          <w:rFonts w:ascii="Times New Roman" w:hAnsi="Times New Roman" w:cs="Times New Roman"/>
        </w:rPr>
      </w:pPr>
    </w:p>
    <w:p w14:paraId="595E1485" w14:textId="630A863D" w:rsidR="00877EB0" w:rsidRDefault="007F3730" w:rsidP="00877EB0">
      <w:pPr>
        <w:pStyle w:val="ListParagraph"/>
        <w:numPr>
          <w:ilvl w:val="0"/>
          <w:numId w:val="14"/>
        </w:numPr>
        <w:spacing w:after="0"/>
        <w:jc w:val="both"/>
        <w:rPr>
          <w:rFonts w:ascii="Times New Roman" w:hAnsi="Times New Roman" w:cs="Times New Roman"/>
        </w:rPr>
      </w:pPr>
      <w:r>
        <w:rPr>
          <w:rFonts w:ascii="Times New Roman" w:hAnsi="Times New Roman" w:cs="Times New Roman"/>
        </w:rPr>
        <w:t>This</w:t>
      </w:r>
      <w:r w:rsidRPr="007D082C">
        <w:rPr>
          <w:rFonts w:ascii="Times New Roman" w:hAnsi="Times New Roman" w:cs="Times New Roman"/>
        </w:rPr>
        <w:t xml:space="preserve"> document outlines the </w:t>
      </w:r>
      <w:r w:rsidR="00011072">
        <w:rPr>
          <w:rFonts w:ascii="Times New Roman" w:hAnsi="Times New Roman" w:cs="Times New Roman"/>
        </w:rPr>
        <w:t>Priority International Actions for 2023</w:t>
      </w:r>
      <w:r w:rsidR="00581055">
        <w:rPr>
          <w:rFonts w:ascii="Times New Roman" w:hAnsi="Times New Roman" w:cs="Times New Roman"/>
        </w:rPr>
        <w:t xml:space="preserve"> under the Hydrogen Breakthrough, </w:t>
      </w:r>
      <w:r w:rsidR="00581055" w:rsidRPr="003352EE">
        <w:rPr>
          <w:rFonts w:ascii="Times New Roman" w:hAnsi="Times New Roman" w:cs="Times New Roman"/>
        </w:rPr>
        <w:t xml:space="preserve">in response to the recommendations in the </w:t>
      </w:r>
      <w:hyperlink r:id="rId13" w:history="1">
        <w:r w:rsidR="00581055" w:rsidRPr="00FF5A0B">
          <w:rPr>
            <w:rStyle w:val="Hyperlink"/>
            <w:rFonts w:ascii="Times New Roman" w:hAnsi="Times New Roman" w:cs="Times New Roman"/>
          </w:rPr>
          <w:t>Breakthrough Agenda Report 2022</w:t>
        </w:r>
      </w:hyperlink>
      <w:r w:rsidR="00581055" w:rsidRPr="003352EE">
        <w:rPr>
          <w:rFonts w:ascii="Times New Roman" w:hAnsi="Times New Roman" w:cs="Times New Roman"/>
        </w:rPr>
        <w:t xml:space="preserve"> from the IEA, IRENA and UN High Level Action Champions</w:t>
      </w:r>
      <w:r w:rsidR="00581055">
        <w:rPr>
          <w:rFonts w:ascii="Times New Roman" w:hAnsi="Times New Roman" w:cs="Times New Roman"/>
        </w:rPr>
        <w:t xml:space="preserve">. </w:t>
      </w:r>
      <w:r w:rsidR="00877EB0">
        <w:rPr>
          <w:rFonts w:ascii="Times New Roman" w:hAnsi="Times New Roman" w:cs="Times New Roman"/>
        </w:rPr>
        <w:t xml:space="preserve">These priority actions have been </w:t>
      </w:r>
      <w:r w:rsidRPr="007D082C">
        <w:rPr>
          <w:rFonts w:ascii="Times New Roman" w:hAnsi="Times New Roman" w:cs="Times New Roman"/>
        </w:rPr>
        <w:t xml:space="preserve">developed </w:t>
      </w:r>
      <w:r w:rsidR="008C10FA" w:rsidRPr="003352EE">
        <w:rPr>
          <w:rFonts w:ascii="Times New Roman" w:hAnsi="Times New Roman" w:cs="Times New Roman"/>
        </w:rPr>
        <w:t>collaborati</w:t>
      </w:r>
      <w:r w:rsidR="008C10FA">
        <w:rPr>
          <w:rFonts w:ascii="Times New Roman" w:hAnsi="Times New Roman" w:cs="Times New Roman"/>
        </w:rPr>
        <w:t>vely by</w:t>
      </w:r>
      <w:r w:rsidRPr="007D082C">
        <w:rPr>
          <w:rFonts w:ascii="Times New Roman" w:hAnsi="Times New Roman" w:cs="Times New Roman"/>
        </w:rPr>
        <w:t xml:space="preserve"> </w:t>
      </w:r>
      <w:r>
        <w:rPr>
          <w:rFonts w:ascii="Times New Roman" w:hAnsi="Times New Roman" w:cs="Times New Roman"/>
        </w:rPr>
        <w:t xml:space="preserve">country </w:t>
      </w:r>
      <w:r w:rsidRPr="007D082C">
        <w:rPr>
          <w:rFonts w:ascii="Times New Roman" w:hAnsi="Times New Roman" w:cs="Times New Roman"/>
        </w:rPr>
        <w:t xml:space="preserve">signatories to the </w:t>
      </w:r>
      <w:r>
        <w:rPr>
          <w:rFonts w:ascii="Times New Roman" w:hAnsi="Times New Roman" w:cs="Times New Roman"/>
        </w:rPr>
        <w:t>Hydrogen</w:t>
      </w:r>
      <w:r w:rsidRPr="007D082C">
        <w:rPr>
          <w:rFonts w:ascii="Times New Roman" w:hAnsi="Times New Roman" w:cs="Times New Roman"/>
        </w:rPr>
        <w:t xml:space="preserve"> Breakthrough and leading initiatives</w:t>
      </w:r>
      <w:r w:rsidR="008C10FA">
        <w:rPr>
          <w:rFonts w:ascii="Times New Roman" w:hAnsi="Times New Roman" w:cs="Times New Roman"/>
        </w:rPr>
        <w:t>. They</w:t>
      </w:r>
      <w:r w:rsidR="008C10FA" w:rsidRPr="003352EE">
        <w:rPr>
          <w:rFonts w:ascii="Times New Roman" w:hAnsi="Times New Roman" w:cs="Times New Roman"/>
        </w:rPr>
        <w:t xml:space="preserve"> </w:t>
      </w:r>
      <w:r w:rsidR="00877EB0" w:rsidRPr="003352EE">
        <w:rPr>
          <w:rFonts w:ascii="Times New Roman" w:hAnsi="Times New Roman" w:cs="Times New Roman"/>
        </w:rPr>
        <w:t xml:space="preserve">seek to </w:t>
      </w:r>
      <w:r w:rsidR="008C10FA">
        <w:rPr>
          <w:rFonts w:ascii="Times New Roman" w:hAnsi="Times New Roman" w:cs="Times New Roman"/>
        </w:rPr>
        <w:t>build on the range of important wider work underway and planned across the</w:t>
      </w:r>
      <w:r w:rsidR="00877EB0" w:rsidRPr="003352EE">
        <w:rPr>
          <w:rFonts w:ascii="Times New Roman" w:hAnsi="Times New Roman" w:cs="Times New Roman"/>
        </w:rPr>
        <w:t xml:space="preserve"> international </w:t>
      </w:r>
      <w:r w:rsidR="008C10FA">
        <w:rPr>
          <w:rFonts w:ascii="Times New Roman" w:hAnsi="Times New Roman" w:cs="Times New Roman"/>
        </w:rPr>
        <w:t xml:space="preserve">landscape, by </w:t>
      </w:r>
      <w:r w:rsidR="008C10FA" w:rsidRPr="003352EE">
        <w:rPr>
          <w:rFonts w:ascii="Times New Roman" w:hAnsi="Times New Roman" w:cs="Times New Roman"/>
        </w:rPr>
        <w:t>strengthen</w:t>
      </w:r>
      <w:r w:rsidR="008C10FA">
        <w:rPr>
          <w:rFonts w:ascii="Times New Roman" w:hAnsi="Times New Roman" w:cs="Times New Roman"/>
        </w:rPr>
        <w:t>ing</w:t>
      </w:r>
      <w:r w:rsidR="008C10FA" w:rsidRPr="003352EE">
        <w:rPr>
          <w:rFonts w:ascii="Times New Roman" w:hAnsi="Times New Roman" w:cs="Times New Roman"/>
        </w:rPr>
        <w:t xml:space="preserve"> international collaboration in </w:t>
      </w:r>
      <w:r w:rsidR="008C10FA">
        <w:rPr>
          <w:rFonts w:ascii="Times New Roman" w:hAnsi="Times New Roman" w:cs="Times New Roman"/>
        </w:rPr>
        <w:t>specific</w:t>
      </w:r>
      <w:r w:rsidR="00877EB0" w:rsidRPr="003352EE">
        <w:rPr>
          <w:rFonts w:ascii="Times New Roman" w:hAnsi="Times New Roman" w:cs="Times New Roman"/>
        </w:rPr>
        <w:t xml:space="preserve"> areas </w:t>
      </w:r>
      <w:r w:rsidR="008C10FA">
        <w:rPr>
          <w:rFonts w:ascii="Times New Roman" w:hAnsi="Times New Roman" w:cs="Times New Roman"/>
        </w:rPr>
        <w:t>where in doing so we can</w:t>
      </w:r>
      <w:r w:rsidR="00877EB0" w:rsidRPr="003352EE">
        <w:rPr>
          <w:rFonts w:ascii="Times New Roman" w:hAnsi="Times New Roman" w:cs="Times New Roman"/>
        </w:rPr>
        <w:t xml:space="preserve"> accelerate progress towards our shared </w:t>
      </w:r>
      <w:r w:rsidR="00181B3B">
        <w:rPr>
          <w:rFonts w:ascii="Times New Roman" w:hAnsi="Times New Roman" w:cs="Times New Roman"/>
        </w:rPr>
        <w:t xml:space="preserve">Hydrogen </w:t>
      </w:r>
      <w:r w:rsidR="00877EB0" w:rsidRPr="003352EE">
        <w:rPr>
          <w:rFonts w:ascii="Times New Roman" w:hAnsi="Times New Roman" w:cs="Times New Roman"/>
        </w:rPr>
        <w:t>Breakthrough Goal to make</w:t>
      </w:r>
      <w:r w:rsidR="00877EB0">
        <w:rPr>
          <w:rFonts w:ascii="Times New Roman" w:hAnsi="Times New Roman" w:cs="Times New Roman"/>
        </w:rPr>
        <w:t>:</w:t>
      </w:r>
      <w:r w:rsidR="0001546F">
        <w:rPr>
          <w:rFonts w:ascii="Times New Roman" w:hAnsi="Times New Roman" w:cs="Times New Roman"/>
        </w:rPr>
        <w:t xml:space="preserve"> </w:t>
      </w:r>
    </w:p>
    <w:p w14:paraId="2A748CBA" w14:textId="77777777" w:rsidR="00181B3B" w:rsidRPr="001C79E3" w:rsidRDefault="00181B3B" w:rsidP="00181B3B">
      <w:pPr>
        <w:spacing w:after="0"/>
        <w:ind w:left="720" w:firstLine="720"/>
        <w:jc w:val="both"/>
        <w:rPr>
          <w:rFonts w:ascii="Times New Roman" w:hAnsi="Times New Roman" w:cs="Times New Roman"/>
          <w:sz w:val="14"/>
          <w:szCs w:val="14"/>
        </w:rPr>
      </w:pPr>
    </w:p>
    <w:p w14:paraId="6F56F5CF" w14:textId="207FB511" w:rsidR="00181B3B" w:rsidRPr="009C6DC8" w:rsidRDefault="00181B3B" w:rsidP="009C6DC8">
      <w:pPr>
        <w:spacing w:after="0"/>
        <w:ind w:firstLine="720"/>
        <w:jc w:val="both"/>
        <w:rPr>
          <w:rFonts w:ascii="Times New Roman" w:hAnsi="Times New Roman" w:cs="Times New Roman"/>
          <w:b/>
          <w:i/>
        </w:rPr>
      </w:pPr>
      <w:r w:rsidRPr="009C6DC8">
        <w:rPr>
          <w:rFonts w:ascii="Times New Roman" w:hAnsi="Times New Roman" w:cs="Times New Roman"/>
          <w:b/>
          <w:i/>
        </w:rPr>
        <w:t>‘Affordable renewable and low carbon hydrogen globally available by 2030’</w:t>
      </w:r>
    </w:p>
    <w:p w14:paraId="5A44508E" w14:textId="77777777" w:rsidR="007F3730" w:rsidRPr="001C79E3" w:rsidRDefault="007F3730" w:rsidP="007F3730">
      <w:pPr>
        <w:spacing w:after="0"/>
        <w:rPr>
          <w:rFonts w:ascii="Times New Roman" w:hAnsi="Times New Roman" w:cs="Times New Roman"/>
          <w:sz w:val="12"/>
          <w:szCs w:val="12"/>
        </w:rPr>
      </w:pPr>
    </w:p>
    <w:p w14:paraId="09D34E6D" w14:textId="511B2F9B" w:rsidR="007F3730" w:rsidRDefault="007F3730" w:rsidP="007F3730">
      <w:pPr>
        <w:pStyle w:val="ListParagraph"/>
        <w:numPr>
          <w:ilvl w:val="0"/>
          <w:numId w:val="14"/>
        </w:numPr>
        <w:spacing w:after="0"/>
        <w:rPr>
          <w:rFonts w:ascii="Times New Roman" w:hAnsi="Times New Roman" w:cs="Times New Roman"/>
        </w:rPr>
      </w:pPr>
      <w:r w:rsidRPr="00AA1179">
        <w:rPr>
          <w:rFonts w:ascii="Times New Roman" w:hAnsi="Times New Roman" w:cs="Times New Roman"/>
        </w:rPr>
        <w:t xml:space="preserve">Noting that each country will have its own national pathway to </w:t>
      </w:r>
      <w:r w:rsidR="00A0105C">
        <w:rPr>
          <w:rFonts w:ascii="Times New Roman" w:hAnsi="Times New Roman" w:cs="Times New Roman"/>
        </w:rPr>
        <w:t>decarbonise key sectors</w:t>
      </w:r>
      <w:r w:rsidR="00181B3B">
        <w:rPr>
          <w:rFonts w:ascii="Times New Roman" w:hAnsi="Times New Roman" w:cs="Times New Roman"/>
        </w:rPr>
        <w:t xml:space="preserve"> </w:t>
      </w:r>
      <w:r w:rsidR="00181B3B" w:rsidRPr="00CB0046">
        <w:rPr>
          <w:rFonts w:ascii="Times New Roman" w:hAnsi="Times New Roman" w:cs="Times New Roman"/>
        </w:rPr>
        <w:t>and approach to competing for future clean technology market opportunities</w:t>
      </w:r>
      <w:r w:rsidRPr="00AA1179">
        <w:rPr>
          <w:rFonts w:ascii="Times New Roman" w:hAnsi="Times New Roman" w:cs="Times New Roman"/>
        </w:rPr>
        <w:t xml:space="preserve">, </w:t>
      </w:r>
      <w:r w:rsidR="007045EE">
        <w:rPr>
          <w:rFonts w:ascii="Times New Roman" w:hAnsi="Times New Roman" w:cs="Times New Roman"/>
        </w:rPr>
        <w:t xml:space="preserve">and </w:t>
      </w:r>
      <w:r w:rsidR="00A5368A">
        <w:rPr>
          <w:rFonts w:ascii="Times New Roman" w:hAnsi="Times New Roman" w:cs="Times New Roman"/>
        </w:rPr>
        <w:t xml:space="preserve">with full recognition </w:t>
      </w:r>
      <w:r w:rsidR="00CC23BB">
        <w:rPr>
          <w:rFonts w:ascii="Times New Roman" w:hAnsi="Times New Roman" w:cs="Times New Roman"/>
        </w:rPr>
        <w:t>of the many</w:t>
      </w:r>
      <w:r w:rsidR="0033569A">
        <w:rPr>
          <w:rFonts w:ascii="Times New Roman" w:hAnsi="Times New Roman" w:cs="Times New Roman"/>
        </w:rPr>
        <w:t xml:space="preserve"> excellent</w:t>
      </w:r>
      <w:r w:rsidR="00CC23BB">
        <w:rPr>
          <w:rFonts w:ascii="Times New Roman" w:hAnsi="Times New Roman" w:cs="Times New Roman"/>
        </w:rPr>
        <w:t xml:space="preserve"> </w:t>
      </w:r>
      <w:r w:rsidR="007045EE">
        <w:rPr>
          <w:rFonts w:ascii="Times New Roman" w:hAnsi="Times New Roman" w:cs="Times New Roman"/>
        </w:rPr>
        <w:t xml:space="preserve">wider international activities and partnerships </w:t>
      </w:r>
      <w:r w:rsidR="00E0765A">
        <w:rPr>
          <w:rFonts w:ascii="Times New Roman" w:hAnsi="Times New Roman" w:cs="Times New Roman"/>
        </w:rPr>
        <w:t>already</w:t>
      </w:r>
      <w:r w:rsidR="007045EE">
        <w:rPr>
          <w:rFonts w:ascii="Times New Roman" w:hAnsi="Times New Roman" w:cs="Times New Roman"/>
        </w:rPr>
        <w:t xml:space="preserve"> underway, </w:t>
      </w:r>
      <w:r w:rsidRPr="00AA1179">
        <w:rPr>
          <w:rFonts w:ascii="Times New Roman" w:hAnsi="Times New Roman" w:cs="Times New Roman"/>
        </w:rPr>
        <w:t xml:space="preserve">we </w:t>
      </w:r>
      <w:r w:rsidR="00FA5957">
        <w:rPr>
          <w:rFonts w:ascii="Times New Roman" w:hAnsi="Times New Roman" w:cs="Times New Roman"/>
        </w:rPr>
        <w:t>commit</w:t>
      </w:r>
      <w:r w:rsidRPr="00DD2AF9">
        <w:rPr>
          <w:rFonts w:ascii="Times New Roman" w:hAnsi="Times New Roman" w:cs="Times New Roman"/>
        </w:rPr>
        <w:t xml:space="preserve"> to</w:t>
      </w:r>
      <w:r w:rsidR="00681F14" w:rsidRPr="00093F27">
        <w:rPr>
          <w:rFonts w:ascii="Times New Roman" w:hAnsi="Times New Roman" w:cs="Times New Roman"/>
        </w:rPr>
        <w:t xml:space="preserve"> </w:t>
      </w:r>
      <w:r w:rsidR="00681F14">
        <w:rPr>
          <w:rFonts w:ascii="Times New Roman" w:hAnsi="Times New Roman" w:cs="Times New Roman"/>
        </w:rPr>
        <w:t>prioritise our international efforts to deliver on specific</w:t>
      </w:r>
      <w:r w:rsidR="00681F14" w:rsidRPr="00093F27">
        <w:rPr>
          <w:rFonts w:ascii="Times New Roman" w:hAnsi="Times New Roman" w:cs="Times New Roman"/>
        </w:rPr>
        <w:t xml:space="preserve"> priority </w:t>
      </w:r>
      <w:r w:rsidR="00681F14">
        <w:rPr>
          <w:rFonts w:ascii="Times New Roman" w:hAnsi="Times New Roman" w:cs="Times New Roman"/>
        </w:rPr>
        <w:t xml:space="preserve">international </w:t>
      </w:r>
      <w:r w:rsidR="00681F14" w:rsidRPr="00093F27">
        <w:rPr>
          <w:rFonts w:ascii="Times New Roman" w:hAnsi="Times New Roman" w:cs="Times New Roman"/>
        </w:rPr>
        <w:t xml:space="preserve">actions and projects </w:t>
      </w:r>
      <w:r w:rsidR="00FA5957">
        <w:rPr>
          <w:rFonts w:ascii="Times New Roman" w:hAnsi="Times New Roman" w:cs="Times New Roman"/>
        </w:rPr>
        <w:t xml:space="preserve">as </w:t>
      </w:r>
      <w:r w:rsidR="00681F14" w:rsidRPr="00093F27">
        <w:rPr>
          <w:rFonts w:ascii="Times New Roman" w:hAnsi="Times New Roman" w:cs="Times New Roman"/>
        </w:rPr>
        <w:t>listed below.</w:t>
      </w:r>
      <w:r w:rsidR="00FA5957">
        <w:rPr>
          <w:rFonts w:ascii="Times New Roman" w:hAnsi="Times New Roman" w:cs="Times New Roman"/>
        </w:rPr>
        <w:t xml:space="preserve"> </w:t>
      </w:r>
    </w:p>
    <w:p w14:paraId="0A746239" w14:textId="77777777" w:rsidR="007F3730" w:rsidRPr="005D1B94" w:rsidRDefault="007F3730" w:rsidP="007F3730">
      <w:pPr>
        <w:pStyle w:val="ListParagraph"/>
        <w:rPr>
          <w:rFonts w:ascii="Times New Roman" w:hAnsi="Times New Roman" w:cs="Times New Roman"/>
        </w:rPr>
      </w:pPr>
    </w:p>
    <w:p w14:paraId="2DE8E825" w14:textId="0AF8FC80" w:rsidR="007F3730" w:rsidRDefault="007F3730" w:rsidP="007F3730">
      <w:pPr>
        <w:pStyle w:val="ListParagraph"/>
        <w:numPr>
          <w:ilvl w:val="0"/>
          <w:numId w:val="14"/>
        </w:numPr>
        <w:spacing w:after="0"/>
        <w:jc w:val="both"/>
        <w:rPr>
          <w:rFonts w:ascii="Times New Roman" w:hAnsi="Times New Roman" w:cs="Times New Roman"/>
        </w:rPr>
      </w:pPr>
      <w:r w:rsidRPr="3207E291">
        <w:rPr>
          <w:rFonts w:ascii="Times New Roman" w:hAnsi="Times New Roman" w:cs="Times New Roman"/>
        </w:rPr>
        <w:t xml:space="preserve">Progress on these actions in 2023 will be tracked through the </w:t>
      </w:r>
      <w:r w:rsidR="00550ACB" w:rsidRPr="3207E291">
        <w:rPr>
          <w:rFonts w:ascii="Times New Roman" w:hAnsi="Times New Roman" w:cs="Times New Roman"/>
        </w:rPr>
        <w:t xml:space="preserve">next </w:t>
      </w:r>
      <w:r w:rsidRPr="3207E291">
        <w:rPr>
          <w:rFonts w:ascii="Times New Roman" w:hAnsi="Times New Roman" w:cs="Times New Roman"/>
        </w:rPr>
        <w:t xml:space="preserve">Breakthrough </w:t>
      </w:r>
      <w:r w:rsidR="7465E2B8" w:rsidRPr="3207E291">
        <w:rPr>
          <w:rFonts w:ascii="Times New Roman" w:hAnsi="Times New Roman" w:cs="Times New Roman"/>
        </w:rPr>
        <w:t>Agend</w:t>
      </w:r>
      <w:r w:rsidR="000021B5" w:rsidRPr="3207E291">
        <w:rPr>
          <w:rFonts w:ascii="Times New Roman" w:hAnsi="Times New Roman" w:cs="Times New Roman"/>
        </w:rPr>
        <w:t>a</w:t>
      </w:r>
      <w:r w:rsidR="7465E2B8" w:rsidRPr="3207E291">
        <w:rPr>
          <w:rFonts w:ascii="Times New Roman" w:hAnsi="Times New Roman" w:cs="Times New Roman"/>
        </w:rPr>
        <w:t xml:space="preserve"> r</w:t>
      </w:r>
      <w:r w:rsidRPr="3207E291">
        <w:rPr>
          <w:rFonts w:ascii="Times New Roman" w:hAnsi="Times New Roman" w:cs="Times New Roman"/>
        </w:rPr>
        <w:t>eport</w:t>
      </w:r>
      <w:r w:rsidR="00446B4E" w:rsidRPr="3207E291">
        <w:rPr>
          <w:rFonts w:ascii="Times New Roman" w:hAnsi="Times New Roman" w:cs="Times New Roman"/>
        </w:rPr>
        <w:t xml:space="preserve"> from the IEA, IRENA and UN HLAC</w:t>
      </w:r>
      <w:r w:rsidRPr="3207E291">
        <w:rPr>
          <w:rFonts w:ascii="Times New Roman" w:hAnsi="Times New Roman" w:cs="Times New Roman"/>
        </w:rPr>
        <w:t xml:space="preserve">, discussed through the </w:t>
      </w:r>
      <w:r w:rsidR="00A0105C" w:rsidRPr="3207E291">
        <w:rPr>
          <w:rFonts w:ascii="Times New Roman" w:hAnsi="Times New Roman" w:cs="Times New Roman"/>
        </w:rPr>
        <w:t>Hydrogen</w:t>
      </w:r>
      <w:r w:rsidRPr="3207E291">
        <w:rPr>
          <w:rFonts w:ascii="Times New Roman" w:hAnsi="Times New Roman" w:cs="Times New Roman"/>
        </w:rPr>
        <w:t xml:space="preserve"> Breakthrough dialogues co-led by the UK</w:t>
      </w:r>
      <w:r w:rsidR="002316BC" w:rsidRPr="3207E291">
        <w:rPr>
          <w:rFonts w:ascii="Times New Roman" w:hAnsi="Times New Roman" w:cs="Times New Roman"/>
        </w:rPr>
        <w:t>,</w:t>
      </w:r>
      <w:r w:rsidR="002A5EB2" w:rsidRPr="3207E291">
        <w:rPr>
          <w:rFonts w:ascii="Times New Roman" w:hAnsi="Times New Roman" w:cs="Times New Roman"/>
        </w:rPr>
        <w:t xml:space="preserve"> USA</w:t>
      </w:r>
      <w:r w:rsidR="002316BC" w:rsidRPr="3207E291">
        <w:rPr>
          <w:rFonts w:ascii="Times New Roman" w:hAnsi="Times New Roman" w:cs="Times New Roman"/>
        </w:rPr>
        <w:t xml:space="preserve"> </w:t>
      </w:r>
      <w:r w:rsidR="00CC2E2A">
        <w:rPr>
          <w:rFonts w:ascii="Times New Roman" w:hAnsi="Times New Roman" w:cs="Times New Roman"/>
        </w:rPr>
        <w:t xml:space="preserve">(with </w:t>
      </w:r>
      <w:r w:rsidR="00795A5A" w:rsidRPr="3207E291">
        <w:rPr>
          <w:rFonts w:ascii="Times New Roman" w:hAnsi="Times New Roman" w:cs="Times New Roman"/>
        </w:rPr>
        <w:t>further co-convenors</w:t>
      </w:r>
      <w:r w:rsidR="00CC2E2A">
        <w:rPr>
          <w:rFonts w:ascii="Times New Roman" w:hAnsi="Times New Roman" w:cs="Times New Roman"/>
        </w:rPr>
        <w:t xml:space="preserve"> likely to be agreed)</w:t>
      </w:r>
      <w:r w:rsidRPr="3207E291">
        <w:rPr>
          <w:rFonts w:ascii="Times New Roman" w:hAnsi="Times New Roman" w:cs="Times New Roman"/>
        </w:rPr>
        <w:t xml:space="preserve">, reviewed at the Clean Energy Ministerial and Mission Innovation Ministerials and reported on at COP28 alongside </w:t>
      </w:r>
      <w:r w:rsidR="004F5C60" w:rsidRPr="3207E291">
        <w:rPr>
          <w:rFonts w:ascii="Times New Roman" w:hAnsi="Times New Roman" w:cs="Times New Roman"/>
        </w:rPr>
        <w:t>an updated set of Priority International Actions for Hydrogen in 2024</w:t>
      </w:r>
      <w:r w:rsidRPr="3207E291">
        <w:rPr>
          <w:rFonts w:ascii="Times New Roman" w:hAnsi="Times New Roman" w:cs="Times New Roman"/>
        </w:rPr>
        <w:t xml:space="preserve">. </w:t>
      </w:r>
    </w:p>
    <w:p w14:paraId="0964A9D5" w14:textId="21F5902E" w:rsidR="3207E291" w:rsidRDefault="3207E291" w:rsidP="3207E291">
      <w:pPr>
        <w:spacing w:after="0"/>
        <w:jc w:val="both"/>
        <w:rPr>
          <w:rFonts w:ascii="Times New Roman" w:hAnsi="Times New Roman" w:cs="Times New Roman"/>
        </w:rPr>
      </w:pPr>
    </w:p>
    <w:p w14:paraId="7AAC217F" w14:textId="1CA4EE7D" w:rsidR="014C594F" w:rsidRDefault="014C594F" w:rsidP="3207E291">
      <w:pPr>
        <w:pStyle w:val="ListParagraph"/>
        <w:numPr>
          <w:ilvl w:val="0"/>
          <w:numId w:val="14"/>
        </w:numPr>
        <w:spacing w:after="0"/>
        <w:jc w:val="both"/>
        <w:rPr>
          <w:rFonts w:ascii="Times New Roman" w:hAnsi="Times New Roman" w:cs="Times New Roman"/>
        </w:rPr>
      </w:pPr>
      <w:r w:rsidRPr="3207E291">
        <w:rPr>
          <w:rFonts w:ascii="Times New Roman" w:eastAsia="Times New Roman" w:hAnsi="Times New Roman" w:cs="Times New Roman"/>
          <w:color w:val="000000" w:themeColor="text1"/>
        </w:rPr>
        <w:t xml:space="preserve">In order to implement the Breakthrough Agenda commitment agreed by 45 World Leaders at COP26, set out below are the Priority International Actions that individual countries and governments will </w:t>
      </w:r>
      <w:r w:rsidR="009D058B">
        <w:rPr>
          <w:rFonts w:ascii="Times New Roman" w:eastAsia="Times New Roman" w:hAnsi="Times New Roman" w:cs="Times New Roman"/>
          <w:color w:val="000000" w:themeColor="text1"/>
        </w:rPr>
        <w:t xml:space="preserve">collaborate to </w:t>
      </w:r>
      <w:r w:rsidRPr="3207E291">
        <w:rPr>
          <w:rFonts w:ascii="Times New Roman" w:eastAsia="Times New Roman" w:hAnsi="Times New Roman" w:cs="Times New Roman"/>
          <w:color w:val="000000" w:themeColor="text1"/>
        </w:rPr>
        <w:t xml:space="preserve">take forwards:  </w:t>
      </w:r>
      <w:r w:rsidRPr="3207E291">
        <w:t xml:space="preserve"> </w:t>
      </w:r>
    </w:p>
    <w:p w14:paraId="110FB564" w14:textId="3E60F7BC" w:rsidR="00011072" w:rsidRPr="00011072" w:rsidRDefault="00011072" w:rsidP="00011072">
      <w:pPr>
        <w:spacing w:after="0"/>
        <w:jc w:val="both"/>
        <w:rPr>
          <w:rFonts w:ascii="Times New Roman" w:hAnsi="Times New Roman" w:cs="Times New Roman"/>
        </w:rPr>
      </w:pPr>
    </w:p>
    <w:tbl>
      <w:tblPr>
        <w:tblStyle w:val="TableGrid"/>
        <w:tblW w:w="13531" w:type="dxa"/>
        <w:tblInd w:w="421" w:type="dxa"/>
        <w:tblLook w:val="04A0" w:firstRow="1" w:lastRow="0" w:firstColumn="1" w:lastColumn="0" w:noHBand="0" w:noVBand="1"/>
      </w:tblPr>
      <w:tblGrid>
        <w:gridCol w:w="3866"/>
        <w:gridCol w:w="5206"/>
        <w:gridCol w:w="2126"/>
        <w:gridCol w:w="2333"/>
      </w:tblGrid>
      <w:tr w:rsidR="00CB4B53" w:rsidRPr="00765EC6" w14:paraId="218CE3A6" w14:textId="77777777" w:rsidTr="00281374">
        <w:trPr>
          <w:trHeight w:val="721"/>
        </w:trPr>
        <w:tc>
          <w:tcPr>
            <w:tcW w:w="3866" w:type="dxa"/>
          </w:tcPr>
          <w:p w14:paraId="1CE662C0" w14:textId="1034FEB7" w:rsidR="00CB4B53" w:rsidRPr="00765EC6" w:rsidRDefault="00CB4B53" w:rsidP="00CB4B53">
            <w:pPr>
              <w:rPr>
                <w:rFonts w:ascii="Times New Roman" w:hAnsi="Times New Roman" w:cs="Times New Roman"/>
                <w:b/>
                <w:bCs/>
              </w:rPr>
            </w:pPr>
            <w:r w:rsidRPr="00765EC6">
              <w:rPr>
                <w:rFonts w:ascii="Times New Roman" w:hAnsi="Times New Roman" w:cs="Times New Roman"/>
                <w:b/>
                <w:bCs/>
              </w:rPr>
              <w:t xml:space="preserve">Priority </w:t>
            </w:r>
            <w:r w:rsidR="009B152F" w:rsidRPr="00765EC6">
              <w:rPr>
                <w:rFonts w:ascii="Times New Roman" w:hAnsi="Times New Roman" w:cs="Times New Roman"/>
                <w:b/>
                <w:bCs/>
              </w:rPr>
              <w:t xml:space="preserve">International </w:t>
            </w:r>
            <w:r w:rsidRPr="00765EC6">
              <w:rPr>
                <w:rFonts w:ascii="Times New Roman" w:hAnsi="Times New Roman" w:cs="Times New Roman"/>
                <w:b/>
                <w:bCs/>
              </w:rPr>
              <w:t>Action</w:t>
            </w:r>
          </w:p>
        </w:tc>
        <w:tc>
          <w:tcPr>
            <w:tcW w:w="5206" w:type="dxa"/>
          </w:tcPr>
          <w:p w14:paraId="18D19245" w14:textId="32B79EEE" w:rsidR="00CB4B53" w:rsidRPr="00765EC6" w:rsidRDefault="00CB4B53" w:rsidP="00CB4B53">
            <w:pPr>
              <w:rPr>
                <w:rFonts w:ascii="Times New Roman" w:eastAsia="Calibri" w:hAnsi="Times New Roman" w:cs="Times New Roman"/>
                <w:b/>
                <w:bCs/>
                <w:color w:val="212529"/>
              </w:rPr>
            </w:pPr>
            <w:r w:rsidRPr="00765EC6">
              <w:rPr>
                <w:rFonts w:ascii="Times New Roman" w:eastAsia="Calibri" w:hAnsi="Times New Roman" w:cs="Times New Roman"/>
                <w:b/>
                <w:bCs/>
                <w:color w:val="212529"/>
              </w:rPr>
              <w:t xml:space="preserve">How this </w:t>
            </w:r>
            <w:r w:rsidR="00B57581" w:rsidRPr="00765EC6">
              <w:rPr>
                <w:rFonts w:ascii="Times New Roman" w:eastAsia="Calibri" w:hAnsi="Times New Roman" w:cs="Times New Roman"/>
                <w:b/>
                <w:bCs/>
                <w:color w:val="212529"/>
              </w:rPr>
              <w:t>will</w:t>
            </w:r>
            <w:r w:rsidRPr="00765EC6">
              <w:rPr>
                <w:rFonts w:ascii="Times New Roman" w:eastAsia="Calibri" w:hAnsi="Times New Roman" w:cs="Times New Roman"/>
                <w:b/>
                <w:bCs/>
                <w:color w:val="212529"/>
              </w:rPr>
              <w:t xml:space="preserve"> be taken forward</w:t>
            </w:r>
          </w:p>
        </w:tc>
        <w:tc>
          <w:tcPr>
            <w:tcW w:w="2126" w:type="dxa"/>
          </w:tcPr>
          <w:p w14:paraId="4D670EF4" w14:textId="28C30C98" w:rsidR="001D31EC" w:rsidRPr="00765EC6" w:rsidRDefault="001D31EC" w:rsidP="00CB4B53">
            <w:pPr>
              <w:rPr>
                <w:rFonts w:ascii="Times New Roman" w:eastAsia="Calibri" w:hAnsi="Times New Roman" w:cs="Times New Roman"/>
                <w:b/>
                <w:bCs/>
                <w:color w:val="212529"/>
              </w:rPr>
            </w:pPr>
            <w:r w:rsidRPr="00765EC6">
              <w:rPr>
                <w:rFonts w:ascii="Times New Roman" w:eastAsia="Calibri" w:hAnsi="Times New Roman" w:cs="Times New Roman"/>
                <w:b/>
                <w:bCs/>
                <w:color w:val="212529"/>
              </w:rPr>
              <w:t>C</w:t>
            </w:r>
            <w:r w:rsidR="00CB4B53" w:rsidRPr="00765EC6">
              <w:rPr>
                <w:rFonts w:ascii="Times New Roman" w:eastAsia="Calibri" w:hAnsi="Times New Roman" w:cs="Times New Roman"/>
                <w:b/>
                <w:bCs/>
                <w:color w:val="212529"/>
              </w:rPr>
              <w:t xml:space="preserve">oordinating initiative(s) </w:t>
            </w:r>
          </w:p>
        </w:tc>
        <w:tc>
          <w:tcPr>
            <w:tcW w:w="2333" w:type="dxa"/>
          </w:tcPr>
          <w:p w14:paraId="30081D8F" w14:textId="5FF77A5E" w:rsidR="3207E291" w:rsidRPr="00765EC6" w:rsidRDefault="75722752" w:rsidP="0051203C">
            <w:pPr>
              <w:spacing w:line="259" w:lineRule="auto"/>
              <w:rPr>
                <w:rFonts w:ascii="Times New Roman" w:eastAsia="Times New Roman" w:hAnsi="Times New Roman" w:cs="Times New Roman"/>
              </w:rPr>
            </w:pPr>
            <w:r w:rsidRPr="00765EC6">
              <w:rPr>
                <w:rFonts w:ascii="Times New Roman" w:eastAsia="Calibri" w:hAnsi="Times New Roman" w:cs="Times New Roman"/>
                <w:b/>
                <w:bCs/>
                <w:color w:val="212529"/>
              </w:rPr>
              <w:t>Collaborating governments</w:t>
            </w:r>
          </w:p>
        </w:tc>
      </w:tr>
      <w:tr w:rsidR="00765EC6" w:rsidRPr="00765EC6" w14:paraId="3891AC2E" w14:textId="77777777" w:rsidTr="181DB00D">
        <w:trPr>
          <w:trHeight w:val="1134"/>
        </w:trPr>
        <w:tc>
          <w:tcPr>
            <w:tcW w:w="13531" w:type="dxa"/>
            <w:gridSpan w:val="4"/>
            <w:shd w:val="clear" w:color="auto" w:fill="E7E6E6" w:themeFill="background2"/>
            <w:vAlign w:val="center"/>
          </w:tcPr>
          <w:p w14:paraId="5E3F2C41" w14:textId="006AC058" w:rsidR="00765EC6" w:rsidRPr="00765EC6" w:rsidRDefault="002965F6" w:rsidP="00765EC6">
            <w:pPr>
              <w:autoSpaceDE w:val="0"/>
              <w:autoSpaceDN w:val="0"/>
              <w:adjustRightInd w:val="0"/>
              <w:rPr>
                <w:rFonts w:ascii="Times New Roman" w:hAnsi="Times New Roman" w:cs="Times New Roman"/>
                <w:i/>
                <w:iCs/>
              </w:rPr>
            </w:pPr>
            <w:r>
              <w:rPr>
                <w:rFonts w:ascii="Times New Roman" w:hAnsi="Times New Roman" w:cs="Times New Roman"/>
                <w:b/>
                <w:bCs/>
                <w:i/>
                <w:iCs/>
              </w:rPr>
              <w:t xml:space="preserve">Breakthrough Agenda Report </w:t>
            </w:r>
            <w:r w:rsidR="00765EC6" w:rsidRPr="00765EC6">
              <w:rPr>
                <w:rFonts w:ascii="Times New Roman" w:hAnsi="Times New Roman" w:cs="Times New Roman"/>
                <w:b/>
                <w:bCs/>
                <w:i/>
                <w:iCs/>
              </w:rPr>
              <w:t>Recommendation:</w:t>
            </w:r>
            <w:r w:rsidR="00765EC6" w:rsidRPr="00765EC6">
              <w:rPr>
                <w:rFonts w:ascii="Times New Roman" w:hAnsi="Times New Roman" w:cs="Times New Roman"/>
                <w:i/>
                <w:iCs/>
              </w:rPr>
              <w:t xml:space="preserve"> Governments and companies should agree a comprehensive portfolio of international standards and associated certification schemes for renewable and low carbon hydrogen, addressing emissions accounting, safety, and operational issues, including leakage. This should be supported by a programme that provides a clear direction and sufficient resources to relevant technical bodies. This will be vital for</w:t>
            </w:r>
            <w:r w:rsidR="00765EC6">
              <w:rPr>
                <w:rFonts w:ascii="Times New Roman" w:hAnsi="Times New Roman" w:cs="Times New Roman"/>
                <w:i/>
                <w:iCs/>
              </w:rPr>
              <w:t xml:space="preserve"> </w:t>
            </w:r>
            <w:r w:rsidR="00765EC6" w:rsidRPr="00765EC6">
              <w:rPr>
                <w:rFonts w:ascii="Times New Roman" w:hAnsi="Times New Roman" w:cs="Times New Roman"/>
                <w:i/>
                <w:iCs/>
              </w:rPr>
              <w:t>supporting a series of other actions, most notably high-quality demand commitments and trade agreements.</w:t>
            </w:r>
          </w:p>
        </w:tc>
      </w:tr>
      <w:tr w:rsidR="00CB4B53" w:rsidRPr="00765EC6" w14:paraId="4806401B" w14:textId="77777777" w:rsidTr="00281374">
        <w:tc>
          <w:tcPr>
            <w:tcW w:w="3866" w:type="dxa"/>
          </w:tcPr>
          <w:p w14:paraId="3506102D" w14:textId="14B68C0A" w:rsidR="00CB4B53" w:rsidRPr="00765EC6" w:rsidRDefault="00793B9B" w:rsidP="00466F58">
            <w:pPr>
              <w:spacing w:before="80" w:after="80" w:line="252" w:lineRule="auto"/>
              <w:rPr>
                <w:rFonts w:ascii="Times New Roman" w:hAnsi="Times New Roman" w:cs="Times New Roman"/>
              </w:rPr>
            </w:pPr>
            <w:r w:rsidRPr="00765EC6">
              <w:rPr>
                <w:rFonts w:ascii="Times New Roman" w:hAnsi="Times New Roman" w:cs="Times New Roman"/>
                <w:b/>
                <w:bCs/>
              </w:rPr>
              <w:t xml:space="preserve">H1. </w:t>
            </w:r>
            <w:r w:rsidR="00CE2511" w:rsidRPr="00765EC6">
              <w:rPr>
                <w:rFonts w:ascii="Times New Roman" w:hAnsi="Times New Roman" w:cs="Times New Roman"/>
                <w:b/>
                <w:bCs/>
              </w:rPr>
              <w:t xml:space="preserve">Standards &amp; Certification: </w:t>
            </w:r>
            <w:r w:rsidR="00774A82" w:rsidRPr="00765EC6">
              <w:rPr>
                <w:rFonts w:ascii="Times New Roman" w:hAnsi="Times New Roman" w:cs="Times New Roman"/>
              </w:rPr>
              <w:t>A</w:t>
            </w:r>
            <w:r w:rsidR="006A59AE" w:rsidRPr="00765EC6">
              <w:rPr>
                <w:rFonts w:ascii="Times New Roman" w:hAnsi="Times New Roman" w:cs="Times New Roman"/>
              </w:rPr>
              <w:t>ccelerat</w:t>
            </w:r>
            <w:r w:rsidR="00774A82" w:rsidRPr="00765EC6">
              <w:rPr>
                <w:rFonts w:ascii="Times New Roman" w:hAnsi="Times New Roman" w:cs="Times New Roman"/>
              </w:rPr>
              <w:t>e</w:t>
            </w:r>
            <w:r w:rsidR="006A59AE" w:rsidRPr="00765EC6">
              <w:rPr>
                <w:rFonts w:ascii="Times New Roman" w:hAnsi="Times New Roman" w:cs="Times New Roman"/>
              </w:rPr>
              <w:t xml:space="preserve"> and expan</w:t>
            </w:r>
            <w:r w:rsidR="00774A82" w:rsidRPr="00765EC6">
              <w:rPr>
                <w:rFonts w:ascii="Times New Roman" w:hAnsi="Times New Roman" w:cs="Times New Roman"/>
              </w:rPr>
              <w:t>d</w:t>
            </w:r>
            <w:r w:rsidR="006A59AE" w:rsidRPr="00765EC6">
              <w:rPr>
                <w:rFonts w:ascii="Times New Roman" w:hAnsi="Times New Roman" w:cs="Times New Roman"/>
              </w:rPr>
              <w:t xml:space="preserve"> a coordinated programme of work to </w:t>
            </w:r>
            <w:r w:rsidR="009E69DE" w:rsidRPr="00765EC6">
              <w:rPr>
                <w:rFonts w:ascii="Times New Roman" w:hAnsi="Times New Roman" w:cs="Times New Roman"/>
              </w:rPr>
              <w:t>develop</w:t>
            </w:r>
            <w:r w:rsidR="006A59AE" w:rsidRPr="00765EC6">
              <w:rPr>
                <w:rFonts w:ascii="Times New Roman" w:hAnsi="Times New Roman" w:cs="Times New Roman"/>
              </w:rPr>
              <w:t xml:space="preserve"> a comprehensive portfolio of international </w:t>
            </w:r>
            <w:r w:rsidR="00D224CC" w:rsidRPr="00765EC6">
              <w:rPr>
                <w:rFonts w:ascii="Times New Roman" w:hAnsi="Times New Roman" w:cs="Times New Roman"/>
              </w:rPr>
              <w:t xml:space="preserve">renewable and low carbon </w:t>
            </w:r>
            <w:r w:rsidR="005E7BED" w:rsidRPr="00765EC6">
              <w:rPr>
                <w:rFonts w:ascii="Times New Roman" w:hAnsi="Times New Roman" w:cs="Times New Roman"/>
              </w:rPr>
              <w:t>hydrogen</w:t>
            </w:r>
            <w:r w:rsidR="006A59AE" w:rsidRPr="00765EC6">
              <w:rPr>
                <w:rFonts w:ascii="Times New Roman" w:hAnsi="Times New Roman" w:cs="Times New Roman"/>
              </w:rPr>
              <w:t xml:space="preserve"> </w:t>
            </w:r>
            <w:r w:rsidR="006A59AE" w:rsidRPr="00765EC6">
              <w:rPr>
                <w:rFonts w:ascii="Times New Roman" w:hAnsi="Times New Roman" w:cs="Times New Roman"/>
              </w:rPr>
              <w:lastRenderedPageBreak/>
              <w:t xml:space="preserve">standards and </w:t>
            </w:r>
            <w:r w:rsidR="00A60E75" w:rsidRPr="00765EC6">
              <w:rPr>
                <w:rFonts w:ascii="Times New Roman" w:hAnsi="Times New Roman" w:cs="Times New Roman"/>
              </w:rPr>
              <w:t xml:space="preserve">to facilitate </w:t>
            </w:r>
            <w:r w:rsidR="006A59AE" w:rsidRPr="00765EC6">
              <w:rPr>
                <w:rFonts w:ascii="Times New Roman" w:hAnsi="Times New Roman" w:cs="Times New Roman"/>
              </w:rPr>
              <w:t>associated certification schemes.</w:t>
            </w:r>
            <w:r w:rsidR="001D12E2" w:rsidRPr="00765EC6">
              <w:rPr>
                <w:rFonts w:ascii="Times New Roman" w:hAnsi="Times New Roman" w:cs="Times New Roman"/>
              </w:rPr>
              <w:t xml:space="preserve"> </w:t>
            </w:r>
            <w:r w:rsidR="00524700" w:rsidRPr="00765EC6">
              <w:rPr>
                <w:rFonts w:ascii="Times New Roman" w:hAnsi="Times New Roman" w:cs="Times New Roman"/>
              </w:rPr>
              <w:t>The programme should be fully resourced and underway by COP28</w:t>
            </w:r>
            <w:r w:rsidR="00216FC6" w:rsidRPr="00765EC6">
              <w:rPr>
                <w:rFonts w:ascii="Times New Roman" w:hAnsi="Times New Roman" w:cs="Times New Roman"/>
              </w:rPr>
              <w:t xml:space="preserve"> with progress reported annual</w:t>
            </w:r>
            <w:r w:rsidR="008F2F3D" w:rsidRPr="00765EC6">
              <w:rPr>
                <w:rFonts w:ascii="Times New Roman" w:hAnsi="Times New Roman" w:cs="Times New Roman"/>
              </w:rPr>
              <w:t>ly</w:t>
            </w:r>
            <w:r w:rsidR="00216FC6" w:rsidRPr="00765EC6">
              <w:rPr>
                <w:rFonts w:ascii="Times New Roman" w:hAnsi="Times New Roman" w:cs="Times New Roman"/>
              </w:rPr>
              <w:t xml:space="preserve"> at subsequent COP summits</w:t>
            </w:r>
            <w:r w:rsidR="00524700" w:rsidRPr="00765EC6">
              <w:rPr>
                <w:rFonts w:ascii="Times New Roman" w:hAnsi="Times New Roman" w:cs="Times New Roman"/>
              </w:rPr>
              <w:t>.</w:t>
            </w:r>
            <w:r w:rsidR="00B02FB8" w:rsidRPr="00765EC6">
              <w:rPr>
                <w:rFonts w:ascii="Times New Roman" w:hAnsi="Times New Roman" w:cs="Times New Roman"/>
              </w:rPr>
              <w:t xml:space="preserve"> </w:t>
            </w:r>
          </w:p>
        </w:tc>
        <w:tc>
          <w:tcPr>
            <w:tcW w:w="5206" w:type="dxa"/>
          </w:tcPr>
          <w:p w14:paraId="50F099B2" w14:textId="77E8337C" w:rsidR="00466F58" w:rsidRPr="00765EC6" w:rsidRDefault="00831C0A" w:rsidP="00466F58">
            <w:pPr>
              <w:spacing w:before="80" w:after="80" w:line="252" w:lineRule="auto"/>
              <w:rPr>
                <w:rFonts w:ascii="Times New Roman" w:eastAsia="Calibri" w:hAnsi="Times New Roman" w:cs="Times New Roman"/>
                <w:color w:val="212529"/>
              </w:rPr>
            </w:pPr>
            <w:r w:rsidRPr="00765EC6">
              <w:rPr>
                <w:rFonts w:ascii="Times New Roman" w:eastAsia="Calibri" w:hAnsi="Times New Roman" w:cs="Times New Roman"/>
                <w:color w:val="212529"/>
              </w:rPr>
              <w:lastRenderedPageBreak/>
              <w:t xml:space="preserve">By </w:t>
            </w:r>
            <w:r w:rsidR="00F850EA" w:rsidRPr="00765EC6">
              <w:rPr>
                <w:rFonts w:ascii="Times New Roman" w:eastAsia="Calibri" w:hAnsi="Times New Roman" w:cs="Times New Roman"/>
                <w:color w:val="212529"/>
              </w:rPr>
              <w:t xml:space="preserve">mandating </w:t>
            </w:r>
            <w:r w:rsidR="003A5502" w:rsidRPr="00765EC6">
              <w:rPr>
                <w:rFonts w:ascii="Times New Roman" w:eastAsia="Calibri" w:hAnsi="Times New Roman" w:cs="Times New Roman"/>
                <w:color w:val="212529"/>
              </w:rPr>
              <w:t xml:space="preserve">and providing </w:t>
            </w:r>
            <w:r w:rsidR="002E2208" w:rsidRPr="00765EC6">
              <w:rPr>
                <w:rFonts w:ascii="Times New Roman" w:eastAsia="Calibri" w:hAnsi="Times New Roman" w:cs="Times New Roman"/>
                <w:color w:val="212529"/>
              </w:rPr>
              <w:t>active</w:t>
            </w:r>
            <w:r w:rsidR="003A5502" w:rsidRPr="00765EC6">
              <w:rPr>
                <w:rFonts w:ascii="Times New Roman" w:eastAsia="Calibri" w:hAnsi="Times New Roman" w:cs="Times New Roman"/>
                <w:color w:val="212529"/>
              </w:rPr>
              <w:t xml:space="preserve"> support to </w:t>
            </w:r>
            <w:r w:rsidR="002618AA" w:rsidRPr="00765EC6">
              <w:rPr>
                <w:rFonts w:ascii="Times New Roman" w:eastAsia="Calibri" w:hAnsi="Times New Roman" w:cs="Times New Roman"/>
                <w:color w:val="212529"/>
              </w:rPr>
              <w:t>leading</w:t>
            </w:r>
            <w:r w:rsidR="00F850EA" w:rsidRPr="00765EC6">
              <w:rPr>
                <w:rFonts w:ascii="Times New Roman" w:eastAsia="Calibri" w:hAnsi="Times New Roman" w:cs="Times New Roman"/>
                <w:color w:val="212529"/>
              </w:rPr>
              <w:t xml:space="preserve"> initiatives to</w:t>
            </w:r>
            <w:r w:rsidR="00910FA6" w:rsidRPr="00765EC6">
              <w:rPr>
                <w:rFonts w:ascii="Times New Roman" w:eastAsia="Calibri" w:hAnsi="Times New Roman" w:cs="Times New Roman"/>
                <w:color w:val="212529"/>
              </w:rPr>
              <w:t xml:space="preserve"> plan, resource and deliver a </w:t>
            </w:r>
            <w:r w:rsidR="00B3573C" w:rsidRPr="00765EC6">
              <w:rPr>
                <w:rFonts w:ascii="Times New Roman" w:hAnsi="Times New Roman" w:cs="Times New Roman"/>
              </w:rPr>
              <w:t xml:space="preserve">comprehensive </w:t>
            </w:r>
            <w:r w:rsidR="00910FA6" w:rsidRPr="00765EC6">
              <w:rPr>
                <w:rFonts w:ascii="Times New Roman" w:eastAsia="Calibri" w:hAnsi="Times New Roman" w:cs="Times New Roman"/>
                <w:color w:val="212529"/>
              </w:rPr>
              <w:t xml:space="preserve">collaborative programme. </w:t>
            </w:r>
          </w:p>
          <w:p w14:paraId="68A41DFA" w14:textId="5BF09DE9" w:rsidR="00CB4B53" w:rsidRPr="00765EC6" w:rsidRDefault="003B17BD" w:rsidP="00466F58">
            <w:pPr>
              <w:spacing w:before="80" w:after="80" w:line="252" w:lineRule="auto"/>
              <w:rPr>
                <w:rFonts w:ascii="Times New Roman" w:eastAsia="Calibri" w:hAnsi="Times New Roman" w:cs="Times New Roman"/>
                <w:color w:val="212529"/>
              </w:rPr>
            </w:pPr>
            <w:r w:rsidRPr="00765EC6">
              <w:rPr>
                <w:rFonts w:ascii="Times New Roman" w:eastAsia="Calibri" w:hAnsi="Times New Roman" w:cs="Times New Roman"/>
                <w:color w:val="212529"/>
              </w:rPr>
              <w:t>The programme</w:t>
            </w:r>
            <w:r w:rsidR="00EE3566" w:rsidRPr="00765EC6">
              <w:rPr>
                <w:rFonts w:ascii="Times New Roman" w:eastAsia="Calibri" w:hAnsi="Times New Roman" w:cs="Times New Roman"/>
                <w:color w:val="212529"/>
              </w:rPr>
              <w:t xml:space="preserve"> </w:t>
            </w:r>
            <w:r w:rsidR="00964865" w:rsidRPr="00765EC6">
              <w:rPr>
                <w:rFonts w:ascii="Times New Roman" w:eastAsia="Calibri" w:hAnsi="Times New Roman" w:cs="Times New Roman"/>
                <w:color w:val="212529"/>
              </w:rPr>
              <w:t>will</w:t>
            </w:r>
            <w:r w:rsidR="00EE3566" w:rsidRPr="00765EC6">
              <w:rPr>
                <w:rFonts w:ascii="Times New Roman" w:eastAsia="Calibri" w:hAnsi="Times New Roman" w:cs="Times New Roman"/>
                <w:color w:val="212529"/>
              </w:rPr>
              <w:t xml:space="preserve"> be scoped and coordinated by</w:t>
            </w:r>
            <w:r w:rsidR="005923C3" w:rsidRPr="00765EC6">
              <w:rPr>
                <w:rFonts w:ascii="Times New Roman" w:eastAsia="Calibri" w:hAnsi="Times New Roman" w:cs="Times New Roman"/>
                <w:color w:val="212529"/>
              </w:rPr>
              <w:t xml:space="preserve"> </w:t>
            </w:r>
            <w:r w:rsidR="00573730" w:rsidRPr="00765EC6">
              <w:rPr>
                <w:rFonts w:ascii="Times New Roman" w:eastAsia="Calibri" w:hAnsi="Times New Roman" w:cs="Times New Roman"/>
                <w:color w:val="212529"/>
              </w:rPr>
              <w:t xml:space="preserve">the </w:t>
            </w:r>
            <w:r w:rsidR="00EE3566" w:rsidRPr="00765EC6">
              <w:rPr>
                <w:rFonts w:ascii="Times New Roman" w:eastAsia="Calibri" w:hAnsi="Times New Roman" w:cs="Times New Roman"/>
                <w:color w:val="212529"/>
              </w:rPr>
              <w:t>IPHE</w:t>
            </w:r>
            <w:r w:rsidR="00FA7487" w:rsidRPr="00765EC6">
              <w:rPr>
                <w:rFonts w:ascii="Times New Roman" w:eastAsia="Calibri" w:hAnsi="Times New Roman" w:cs="Times New Roman"/>
                <w:color w:val="212529"/>
              </w:rPr>
              <w:t xml:space="preserve">, working in consultation with other key hydrogen </w:t>
            </w:r>
            <w:r w:rsidR="00FA7487" w:rsidRPr="00765EC6">
              <w:rPr>
                <w:rFonts w:ascii="Times New Roman" w:eastAsia="Calibri" w:hAnsi="Times New Roman" w:cs="Times New Roman"/>
                <w:color w:val="212529"/>
              </w:rPr>
              <w:lastRenderedPageBreak/>
              <w:t>initiatives</w:t>
            </w:r>
            <w:r w:rsidR="00E70055" w:rsidRPr="00765EC6">
              <w:rPr>
                <w:rFonts w:ascii="Times New Roman" w:eastAsia="Calibri" w:hAnsi="Times New Roman" w:cs="Times New Roman"/>
                <w:color w:val="212529"/>
              </w:rPr>
              <w:t xml:space="preserve"> and in collaboration with relevant standards institutes</w:t>
            </w:r>
            <w:r w:rsidR="00FA7487" w:rsidRPr="00765EC6">
              <w:rPr>
                <w:rFonts w:ascii="Times New Roman" w:eastAsia="Calibri" w:hAnsi="Times New Roman" w:cs="Times New Roman"/>
                <w:color w:val="212529"/>
              </w:rPr>
              <w:t xml:space="preserve">, </w:t>
            </w:r>
            <w:r w:rsidR="00573730" w:rsidRPr="00765EC6">
              <w:rPr>
                <w:rFonts w:ascii="Times New Roman" w:eastAsia="Calibri" w:hAnsi="Times New Roman" w:cs="Times New Roman"/>
                <w:color w:val="212529"/>
              </w:rPr>
              <w:t>with</w:t>
            </w:r>
            <w:r w:rsidR="00E35198" w:rsidRPr="00765EC6">
              <w:rPr>
                <w:rFonts w:ascii="Times New Roman" w:eastAsia="Calibri" w:hAnsi="Times New Roman" w:cs="Times New Roman"/>
                <w:color w:val="212529"/>
              </w:rPr>
              <w:t xml:space="preserve"> </w:t>
            </w:r>
            <w:r w:rsidR="007B5623" w:rsidRPr="00765EC6">
              <w:rPr>
                <w:rFonts w:ascii="Times New Roman" w:eastAsia="Calibri" w:hAnsi="Times New Roman" w:cs="Times New Roman"/>
                <w:color w:val="212529"/>
              </w:rPr>
              <w:t xml:space="preserve">specific </w:t>
            </w:r>
            <w:r w:rsidR="00280090" w:rsidRPr="00765EC6">
              <w:rPr>
                <w:rFonts w:ascii="Times New Roman" w:eastAsia="Calibri" w:hAnsi="Times New Roman" w:cs="Times New Roman"/>
                <w:color w:val="212529"/>
              </w:rPr>
              <w:t xml:space="preserve">technical </w:t>
            </w:r>
            <w:r w:rsidR="007B5623" w:rsidRPr="00765EC6">
              <w:rPr>
                <w:rFonts w:ascii="Times New Roman" w:eastAsia="Calibri" w:hAnsi="Times New Roman" w:cs="Times New Roman"/>
                <w:color w:val="212529"/>
              </w:rPr>
              <w:t>workstreams</w:t>
            </w:r>
            <w:r w:rsidR="0057420D" w:rsidRPr="00765EC6">
              <w:rPr>
                <w:rFonts w:ascii="Times New Roman" w:eastAsia="Calibri" w:hAnsi="Times New Roman" w:cs="Times New Roman"/>
                <w:color w:val="212529"/>
              </w:rPr>
              <w:t>, analysis</w:t>
            </w:r>
            <w:r w:rsidR="00E35198" w:rsidRPr="00765EC6">
              <w:rPr>
                <w:rFonts w:ascii="Times New Roman" w:eastAsia="Calibri" w:hAnsi="Times New Roman" w:cs="Times New Roman"/>
                <w:color w:val="212529"/>
              </w:rPr>
              <w:t xml:space="preserve"> </w:t>
            </w:r>
            <w:r w:rsidR="0057420D" w:rsidRPr="00765EC6">
              <w:rPr>
                <w:rFonts w:ascii="Times New Roman" w:eastAsia="Calibri" w:hAnsi="Times New Roman" w:cs="Times New Roman"/>
                <w:color w:val="212529"/>
              </w:rPr>
              <w:t xml:space="preserve">and broad country and stakeholder engagement </w:t>
            </w:r>
            <w:r w:rsidR="00CB771A" w:rsidRPr="00765EC6">
              <w:rPr>
                <w:rFonts w:ascii="Times New Roman" w:eastAsia="Calibri" w:hAnsi="Times New Roman" w:cs="Times New Roman"/>
                <w:color w:val="212529"/>
              </w:rPr>
              <w:t>supported</w:t>
            </w:r>
            <w:r w:rsidR="00280090" w:rsidRPr="00765EC6">
              <w:rPr>
                <w:rFonts w:ascii="Times New Roman" w:eastAsia="Calibri" w:hAnsi="Times New Roman" w:cs="Times New Roman"/>
                <w:color w:val="212529"/>
              </w:rPr>
              <w:t xml:space="preserve"> </w:t>
            </w:r>
            <w:r w:rsidR="00E35198" w:rsidRPr="00765EC6">
              <w:rPr>
                <w:rFonts w:ascii="Times New Roman" w:eastAsia="Calibri" w:hAnsi="Times New Roman" w:cs="Times New Roman"/>
                <w:color w:val="212529"/>
              </w:rPr>
              <w:t xml:space="preserve">by </w:t>
            </w:r>
            <w:r w:rsidR="00EE3566" w:rsidRPr="00765EC6">
              <w:rPr>
                <w:rFonts w:ascii="Times New Roman" w:eastAsia="Calibri" w:hAnsi="Times New Roman" w:cs="Times New Roman"/>
                <w:color w:val="212529"/>
              </w:rPr>
              <w:t>IEA’s Hydrogen</w:t>
            </w:r>
            <w:r w:rsidR="0093214D" w:rsidRPr="00765EC6">
              <w:rPr>
                <w:rFonts w:ascii="Times New Roman" w:eastAsia="Calibri" w:hAnsi="Times New Roman" w:cs="Times New Roman"/>
                <w:color w:val="212529"/>
              </w:rPr>
              <w:t xml:space="preserve"> </w:t>
            </w:r>
            <w:r w:rsidR="00EE3566" w:rsidRPr="00765EC6">
              <w:rPr>
                <w:rFonts w:ascii="Times New Roman" w:eastAsia="Calibri" w:hAnsi="Times New Roman" w:cs="Times New Roman"/>
                <w:color w:val="212529"/>
              </w:rPr>
              <w:t>TCP</w:t>
            </w:r>
            <w:r w:rsidR="00280090" w:rsidRPr="00765EC6">
              <w:rPr>
                <w:rFonts w:ascii="Times New Roman" w:eastAsia="Calibri" w:hAnsi="Times New Roman" w:cs="Times New Roman"/>
                <w:color w:val="212529"/>
              </w:rPr>
              <w:t xml:space="preserve"> and </w:t>
            </w:r>
            <w:r w:rsidR="00EE3566" w:rsidRPr="00765EC6">
              <w:rPr>
                <w:rFonts w:ascii="Times New Roman" w:eastAsia="Calibri" w:hAnsi="Times New Roman" w:cs="Times New Roman"/>
                <w:color w:val="212529"/>
              </w:rPr>
              <w:t>IRENA</w:t>
            </w:r>
            <w:r w:rsidR="0057420D" w:rsidRPr="00765EC6">
              <w:rPr>
                <w:rFonts w:ascii="Times New Roman" w:eastAsia="Calibri" w:hAnsi="Times New Roman" w:cs="Times New Roman"/>
                <w:color w:val="212529"/>
              </w:rPr>
              <w:t xml:space="preserve">. </w:t>
            </w:r>
            <w:r w:rsidR="00910FA6" w:rsidRPr="00765EC6">
              <w:rPr>
                <w:rFonts w:ascii="Times New Roman" w:eastAsia="Calibri" w:hAnsi="Times New Roman" w:cs="Times New Roman"/>
                <w:color w:val="212529"/>
              </w:rPr>
              <w:t xml:space="preserve">The </w:t>
            </w:r>
            <w:r w:rsidR="00C0768F" w:rsidRPr="00765EC6">
              <w:rPr>
                <w:rFonts w:ascii="Times New Roman" w:eastAsia="Calibri" w:hAnsi="Times New Roman" w:cs="Times New Roman"/>
                <w:color w:val="212529"/>
              </w:rPr>
              <w:t>programme</w:t>
            </w:r>
            <w:r w:rsidR="00910FA6" w:rsidRPr="00765EC6">
              <w:rPr>
                <w:rFonts w:ascii="Times New Roman" w:eastAsia="Calibri" w:hAnsi="Times New Roman" w:cs="Times New Roman"/>
                <w:color w:val="212529"/>
              </w:rPr>
              <w:t xml:space="preserve"> should include standards </w:t>
            </w:r>
            <w:r w:rsidR="001D12E2" w:rsidRPr="00765EC6">
              <w:rPr>
                <w:rFonts w:ascii="Times New Roman" w:eastAsia="Calibri" w:hAnsi="Times New Roman" w:cs="Times New Roman"/>
                <w:color w:val="212529"/>
              </w:rPr>
              <w:t xml:space="preserve">for a range of topics including </w:t>
            </w:r>
            <w:r w:rsidR="00910FA6" w:rsidRPr="00765EC6">
              <w:rPr>
                <w:rFonts w:ascii="Times New Roman" w:eastAsia="Calibri" w:hAnsi="Times New Roman" w:cs="Times New Roman"/>
                <w:color w:val="212529"/>
              </w:rPr>
              <w:t>emissions accounting, safety, and operational issues</w:t>
            </w:r>
            <w:r w:rsidR="00C0768F" w:rsidRPr="00765EC6">
              <w:rPr>
                <w:rFonts w:ascii="Times New Roman" w:eastAsia="Calibri" w:hAnsi="Times New Roman" w:cs="Times New Roman"/>
                <w:color w:val="212529"/>
              </w:rPr>
              <w:t xml:space="preserve"> and</w:t>
            </w:r>
            <w:r w:rsidR="00910FA6" w:rsidRPr="00765EC6">
              <w:rPr>
                <w:rFonts w:ascii="Times New Roman" w:eastAsia="Calibri" w:hAnsi="Times New Roman" w:cs="Times New Roman"/>
                <w:color w:val="212529"/>
              </w:rPr>
              <w:t xml:space="preserve"> should pull together and connect existing work, </w:t>
            </w:r>
            <w:r w:rsidR="00C0768F" w:rsidRPr="00765EC6">
              <w:rPr>
                <w:rFonts w:ascii="Times New Roman" w:eastAsia="Calibri" w:hAnsi="Times New Roman" w:cs="Times New Roman"/>
                <w:color w:val="212529"/>
              </w:rPr>
              <w:t>addressing</w:t>
            </w:r>
            <w:r w:rsidR="00910FA6" w:rsidRPr="00765EC6">
              <w:rPr>
                <w:rFonts w:ascii="Times New Roman" w:eastAsia="Calibri" w:hAnsi="Times New Roman" w:cs="Times New Roman"/>
                <w:color w:val="212529"/>
              </w:rPr>
              <w:t xml:space="preserve"> gaps and resource needs</w:t>
            </w:r>
            <w:r w:rsidR="00C0768F" w:rsidRPr="00765EC6">
              <w:rPr>
                <w:rFonts w:ascii="Times New Roman" w:eastAsia="Calibri" w:hAnsi="Times New Roman" w:cs="Times New Roman"/>
                <w:color w:val="212529"/>
              </w:rPr>
              <w:t>.</w:t>
            </w:r>
          </w:p>
        </w:tc>
        <w:tc>
          <w:tcPr>
            <w:tcW w:w="2126" w:type="dxa"/>
          </w:tcPr>
          <w:p w14:paraId="0B51F9FF" w14:textId="3BEDCA45" w:rsidR="00EE3566" w:rsidRPr="00765EC6" w:rsidRDefault="002256EF" w:rsidP="00B33D0D">
            <w:pPr>
              <w:spacing w:before="100" w:after="100" w:line="252" w:lineRule="auto"/>
              <w:rPr>
                <w:rFonts w:ascii="Times New Roman" w:eastAsia="Calibri" w:hAnsi="Times New Roman" w:cs="Times New Roman"/>
                <w:color w:val="212529"/>
              </w:rPr>
            </w:pPr>
            <w:r w:rsidRPr="00765EC6">
              <w:rPr>
                <w:rFonts w:ascii="Times New Roman" w:eastAsia="Calibri" w:hAnsi="Times New Roman" w:cs="Times New Roman"/>
                <w:color w:val="212529"/>
              </w:rPr>
              <w:lastRenderedPageBreak/>
              <w:t>International Partnership for Hydrogen and Fuel Cells in the Economy (IPHE)</w:t>
            </w:r>
          </w:p>
          <w:p w14:paraId="4960C0BD" w14:textId="4D21F951" w:rsidR="00EE3566" w:rsidRPr="00765EC6" w:rsidRDefault="009F351A" w:rsidP="00B33D0D">
            <w:pPr>
              <w:spacing w:before="100" w:after="100" w:line="252" w:lineRule="auto"/>
              <w:rPr>
                <w:rFonts w:ascii="Times New Roman" w:eastAsia="Calibri" w:hAnsi="Times New Roman" w:cs="Times New Roman"/>
                <w:color w:val="212529"/>
              </w:rPr>
            </w:pPr>
            <w:r w:rsidRPr="00765EC6">
              <w:rPr>
                <w:rFonts w:ascii="Times New Roman" w:eastAsia="Calibri" w:hAnsi="Times New Roman" w:cs="Times New Roman"/>
                <w:color w:val="212529"/>
              </w:rPr>
              <w:lastRenderedPageBreak/>
              <w:t xml:space="preserve">International Energy Agency (IEA)’s </w:t>
            </w:r>
            <w:r w:rsidR="00EE3566" w:rsidRPr="00765EC6">
              <w:rPr>
                <w:rFonts w:ascii="Times New Roman" w:eastAsia="Calibri" w:hAnsi="Times New Roman" w:cs="Times New Roman"/>
                <w:color w:val="212529"/>
              </w:rPr>
              <w:t>Hydrogen TCP</w:t>
            </w:r>
          </w:p>
          <w:p w14:paraId="44A76304" w14:textId="7BCE259A" w:rsidR="00FD1C11" w:rsidRPr="00765EC6" w:rsidRDefault="004236F9" w:rsidP="00B33D0D">
            <w:pPr>
              <w:spacing w:before="100" w:after="100" w:line="252" w:lineRule="auto"/>
              <w:rPr>
                <w:rFonts w:ascii="Times New Roman" w:eastAsia="Calibri" w:hAnsi="Times New Roman" w:cs="Times New Roman"/>
                <w:color w:val="212529"/>
              </w:rPr>
            </w:pPr>
            <w:r w:rsidRPr="00765EC6">
              <w:rPr>
                <w:rFonts w:ascii="Times New Roman" w:eastAsia="Calibri" w:hAnsi="Times New Roman" w:cs="Times New Roman"/>
                <w:color w:val="212529"/>
              </w:rPr>
              <w:t xml:space="preserve">International Renewable Energy Agency (IRENA)’s </w:t>
            </w:r>
            <w:r w:rsidR="00EE3566" w:rsidRPr="00765EC6">
              <w:rPr>
                <w:rFonts w:ascii="Times New Roman" w:eastAsia="Calibri" w:hAnsi="Times New Roman" w:cs="Times New Roman"/>
                <w:color w:val="212529"/>
              </w:rPr>
              <w:t>Collaborative Framework on Green Hydrogen</w:t>
            </w:r>
          </w:p>
        </w:tc>
        <w:tc>
          <w:tcPr>
            <w:tcW w:w="2333" w:type="dxa"/>
          </w:tcPr>
          <w:p w14:paraId="6ACC51BE" w14:textId="77777777" w:rsidR="3207E291"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lastRenderedPageBreak/>
              <w:t>Australia</w:t>
            </w:r>
          </w:p>
          <w:p w14:paraId="07F33E36" w14:textId="77777777" w:rsidR="007A04B6" w:rsidRDefault="007A04B6" w:rsidP="007A04B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770E7BB1"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Canada</w:t>
            </w:r>
          </w:p>
          <w:p w14:paraId="38B80441"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European Commission</w:t>
            </w:r>
          </w:p>
          <w:p w14:paraId="2CBB93A1"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Finland</w:t>
            </w:r>
          </w:p>
          <w:p w14:paraId="79FC5288" w14:textId="6B3D4AFC" w:rsidR="001669EF" w:rsidRDefault="001669EF" w:rsidP="00035977">
            <w:pPr>
              <w:rPr>
                <w:rFonts w:ascii="Times New Roman" w:eastAsia="Calibri" w:hAnsi="Times New Roman" w:cs="Times New Roman"/>
                <w:color w:val="212529"/>
              </w:rPr>
            </w:pPr>
            <w:r>
              <w:rPr>
                <w:rFonts w:ascii="Times New Roman" w:eastAsia="Calibri" w:hAnsi="Times New Roman" w:cs="Times New Roman"/>
                <w:color w:val="212529"/>
              </w:rPr>
              <w:t>France</w:t>
            </w:r>
          </w:p>
          <w:p w14:paraId="6E5842CA" w14:textId="3DD6F185"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lastRenderedPageBreak/>
              <w:t>Germany</w:t>
            </w:r>
          </w:p>
          <w:p w14:paraId="0259E9BB" w14:textId="404748DC" w:rsidR="00281374" w:rsidRPr="00281374" w:rsidRDefault="00281374" w:rsidP="00035977">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58E97A5D"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Ireland</w:t>
            </w:r>
          </w:p>
          <w:p w14:paraId="55B865CF"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Italy</w:t>
            </w:r>
          </w:p>
          <w:p w14:paraId="27C84DD1"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Japan</w:t>
            </w:r>
          </w:p>
          <w:p w14:paraId="702FD5C3" w14:textId="28DFFC97" w:rsidR="00BC318E" w:rsidRDefault="00BC318E" w:rsidP="00035977">
            <w:pPr>
              <w:rPr>
                <w:rFonts w:ascii="Times New Roman" w:eastAsia="Calibri" w:hAnsi="Times New Roman" w:cs="Times New Roman"/>
                <w:color w:val="212529"/>
              </w:rPr>
            </w:pPr>
            <w:r>
              <w:rPr>
                <w:rFonts w:ascii="Times New Roman" w:eastAsia="Calibri" w:hAnsi="Times New Roman" w:cs="Times New Roman"/>
                <w:color w:val="212529"/>
              </w:rPr>
              <w:t>Netherlands</w:t>
            </w:r>
          </w:p>
          <w:p w14:paraId="7E3F435C"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Norway</w:t>
            </w:r>
          </w:p>
          <w:p w14:paraId="7CE5534B"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Panama</w:t>
            </w:r>
          </w:p>
          <w:p w14:paraId="7A84464E" w14:textId="2ADBD9EB" w:rsidR="00091C93" w:rsidRDefault="00091C93" w:rsidP="00035977">
            <w:pPr>
              <w:rPr>
                <w:rFonts w:ascii="Times New Roman" w:eastAsia="Calibri" w:hAnsi="Times New Roman" w:cs="Times New Roman"/>
                <w:color w:val="212529"/>
              </w:rPr>
            </w:pPr>
            <w:r>
              <w:rPr>
                <w:rFonts w:ascii="Times New Roman" w:eastAsia="Calibri" w:hAnsi="Times New Roman" w:cs="Times New Roman"/>
                <w:color w:val="212529"/>
              </w:rPr>
              <w:t>Spain</w:t>
            </w:r>
          </w:p>
          <w:p w14:paraId="0D546855" w14:textId="77777777" w:rsidR="00035977"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Sweden</w:t>
            </w:r>
          </w:p>
          <w:p w14:paraId="0CFF4365" w14:textId="77777777" w:rsidR="3207E291" w:rsidRDefault="00035977" w:rsidP="00035977">
            <w:pPr>
              <w:rPr>
                <w:rFonts w:ascii="Times New Roman" w:eastAsia="Calibri" w:hAnsi="Times New Roman" w:cs="Times New Roman"/>
                <w:color w:val="212529"/>
              </w:rPr>
            </w:pPr>
            <w:r>
              <w:rPr>
                <w:rFonts w:ascii="Times New Roman" w:eastAsia="Calibri" w:hAnsi="Times New Roman" w:cs="Times New Roman"/>
                <w:color w:val="212529"/>
              </w:rPr>
              <w:t>United Kingdom</w:t>
            </w:r>
          </w:p>
          <w:p w14:paraId="303FB93B" w14:textId="0969F874" w:rsidR="0059748D" w:rsidRPr="00765EC6" w:rsidRDefault="0059748D" w:rsidP="00035977">
            <w:pPr>
              <w:rPr>
                <w:rFonts w:ascii="Times New Roman" w:eastAsia="Calibri" w:hAnsi="Times New Roman" w:cs="Times New Roman"/>
                <w:color w:val="212529"/>
              </w:rPr>
            </w:pPr>
            <w:r>
              <w:rPr>
                <w:rFonts w:ascii="Times New Roman" w:eastAsia="Calibri" w:hAnsi="Times New Roman" w:cs="Times New Roman"/>
                <w:color w:val="212529"/>
              </w:rPr>
              <w:t>United States</w:t>
            </w:r>
          </w:p>
        </w:tc>
      </w:tr>
      <w:tr w:rsidR="00797585" w:rsidRPr="00765EC6" w14:paraId="17635823" w14:textId="77777777" w:rsidTr="181DB00D">
        <w:trPr>
          <w:trHeight w:val="1199"/>
        </w:trPr>
        <w:tc>
          <w:tcPr>
            <w:tcW w:w="13531" w:type="dxa"/>
            <w:gridSpan w:val="4"/>
            <w:shd w:val="clear" w:color="auto" w:fill="E7E6E6" w:themeFill="background2"/>
            <w:vAlign w:val="center"/>
          </w:tcPr>
          <w:p w14:paraId="65916F2F" w14:textId="1995B6ED" w:rsidR="00797585" w:rsidRPr="00797585" w:rsidRDefault="00B24F9D" w:rsidP="00847F89">
            <w:pPr>
              <w:autoSpaceDE w:val="0"/>
              <w:autoSpaceDN w:val="0"/>
              <w:adjustRightInd w:val="0"/>
              <w:rPr>
                <w:rFonts w:ascii="Times New Roman" w:hAnsi="Times New Roman" w:cs="Times New Roman"/>
                <w:i/>
                <w:iCs/>
              </w:rPr>
            </w:pPr>
            <w:r>
              <w:rPr>
                <w:rFonts w:ascii="Times New Roman" w:hAnsi="Times New Roman" w:cs="Times New Roman"/>
                <w:b/>
                <w:bCs/>
                <w:i/>
                <w:iCs/>
              </w:rPr>
              <w:lastRenderedPageBreak/>
              <w:t xml:space="preserve">Breakthrough Agenda Report </w:t>
            </w:r>
            <w:r w:rsidR="00797585" w:rsidRPr="00797585">
              <w:rPr>
                <w:rFonts w:ascii="Times New Roman" w:hAnsi="Times New Roman" w:cs="Times New Roman"/>
                <w:b/>
                <w:bCs/>
                <w:i/>
                <w:iCs/>
              </w:rPr>
              <w:t>Recommendation:</w:t>
            </w:r>
            <w:r w:rsidR="00797585" w:rsidRPr="00797585">
              <w:rPr>
                <w:rFonts w:ascii="Times New Roman" w:hAnsi="Times New Roman" w:cs="Times New Roman"/>
                <w:i/>
                <w:iCs/>
              </w:rPr>
              <w:t xml:space="preserve"> </w:t>
            </w:r>
            <w:r w:rsidR="00847F89" w:rsidRPr="00847F89">
              <w:rPr>
                <w:rFonts w:ascii="Times New Roman" w:hAnsi="Times New Roman" w:cs="Times New Roman"/>
                <w:i/>
                <w:iCs/>
              </w:rPr>
              <w:t>Governments and companies should coordinate internationally to increase</w:t>
            </w:r>
            <w:r w:rsidR="00847F89" w:rsidRPr="00847F89">
              <w:rPr>
                <w:rFonts w:ascii="Times New Roman" w:hAnsi="Times New Roman" w:cs="Times New Roman"/>
                <w:i/>
                <w:iCs/>
              </w:rPr>
              <w:t xml:space="preserve"> </w:t>
            </w:r>
            <w:r w:rsidR="00847F89" w:rsidRPr="00847F89">
              <w:rPr>
                <w:rFonts w:ascii="Times New Roman" w:hAnsi="Times New Roman" w:cs="Times New Roman"/>
                <w:i/>
                <w:iCs/>
              </w:rPr>
              <w:t>commitments for the use of low carbon and renewable hydrogen in sectors where</w:t>
            </w:r>
            <w:r w:rsidR="00847F89" w:rsidRPr="00847F89">
              <w:rPr>
                <w:rFonts w:ascii="Times New Roman" w:hAnsi="Times New Roman" w:cs="Times New Roman"/>
                <w:i/>
                <w:iCs/>
              </w:rPr>
              <w:t xml:space="preserve"> </w:t>
            </w:r>
            <w:r w:rsidR="00847F89" w:rsidRPr="00847F89">
              <w:rPr>
                <w:rFonts w:ascii="Times New Roman" w:hAnsi="Times New Roman" w:cs="Times New Roman"/>
                <w:i/>
                <w:iCs/>
              </w:rPr>
              <w:t>hydrogen is currently used, supported by specific policies and purchase</w:t>
            </w:r>
            <w:r w:rsidR="00847F89" w:rsidRPr="00847F89">
              <w:rPr>
                <w:rFonts w:ascii="Times New Roman" w:hAnsi="Times New Roman" w:cs="Times New Roman"/>
                <w:i/>
                <w:iCs/>
              </w:rPr>
              <w:t xml:space="preserve"> </w:t>
            </w:r>
            <w:r w:rsidR="00847F89" w:rsidRPr="00847F89">
              <w:rPr>
                <w:rFonts w:ascii="Times New Roman" w:hAnsi="Times New Roman" w:cs="Times New Roman"/>
                <w:i/>
                <w:iCs/>
              </w:rPr>
              <w:t xml:space="preserve">agreements to collectively send a strong demand </w:t>
            </w:r>
            <w:r w:rsidR="00847F89" w:rsidRPr="00847F89">
              <w:rPr>
                <w:rFonts w:ascii="Times New Roman" w:hAnsi="Times New Roman" w:cs="Times New Roman"/>
                <w:i/>
                <w:iCs/>
              </w:rPr>
              <w:t>signal</w:t>
            </w:r>
            <w:r w:rsidR="00847F89" w:rsidRPr="00847F89">
              <w:rPr>
                <w:rFonts w:ascii="Times New Roman" w:hAnsi="Times New Roman" w:cs="Times New Roman"/>
                <w:i/>
                <w:iCs/>
              </w:rPr>
              <w:t xml:space="preserve"> and mobilise investment in</w:t>
            </w:r>
            <w:r w:rsidR="00847F89" w:rsidRPr="00847F89">
              <w:rPr>
                <w:rFonts w:ascii="Times New Roman" w:hAnsi="Times New Roman" w:cs="Times New Roman"/>
                <w:i/>
                <w:iCs/>
              </w:rPr>
              <w:t xml:space="preserve"> p</w:t>
            </w:r>
            <w:r w:rsidR="00847F89" w:rsidRPr="00847F89">
              <w:rPr>
                <w:rFonts w:ascii="Times New Roman" w:hAnsi="Times New Roman" w:cs="Times New Roman"/>
                <w:i/>
                <w:iCs/>
              </w:rPr>
              <w:t>roduction. In new priority application sectors, countries should share learning to</w:t>
            </w:r>
            <w:r w:rsidR="00847F89" w:rsidRPr="00847F89">
              <w:rPr>
                <w:rFonts w:ascii="Times New Roman" w:hAnsi="Times New Roman" w:cs="Times New Roman"/>
                <w:i/>
                <w:iCs/>
              </w:rPr>
              <w:t xml:space="preserve"> </w:t>
            </w:r>
            <w:r w:rsidR="00847F89" w:rsidRPr="00847F89">
              <w:rPr>
                <w:rFonts w:ascii="Times New Roman" w:hAnsi="Times New Roman" w:cs="Times New Roman"/>
                <w:i/>
                <w:iCs/>
              </w:rPr>
              <w:t>accelerate early deployment. This should be done in a manner that ensures a level</w:t>
            </w:r>
            <w:r w:rsidR="00847F89">
              <w:rPr>
                <w:rFonts w:ascii="Times New Roman" w:hAnsi="Times New Roman" w:cs="Times New Roman"/>
                <w:i/>
                <w:iCs/>
              </w:rPr>
              <w:t xml:space="preserve"> </w:t>
            </w:r>
            <w:r w:rsidR="00847F89" w:rsidRPr="00847F89">
              <w:rPr>
                <w:rFonts w:ascii="Times New Roman" w:hAnsi="Times New Roman" w:cs="Times New Roman"/>
                <w:i/>
                <w:iCs/>
              </w:rPr>
              <w:t>playing field in international trade.</w:t>
            </w:r>
          </w:p>
        </w:tc>
      </w:tr>
      <w:tr w:rsidR="00CB4B53" w:rsidRPr="00765EC6" w14:paraId="192B6A47" w14:textId="77777777" w:rsidTr="00281374">
        <w:tc>
          <w:tcPr>
            <w:tcW w:w="3866" w:type="dxa"/>
          </w:tcPr>
          <w:p w14:paraId="32D6268C" w14:textId="1802E3C8" w:rsidR="00842B61" w:rsidRPr="00765EC6" w:rsidRDefault="00793B9B" w:rsidP="00466F58">
            <w:pPr>
              <w:spacing w:before="80" w:after="80" w:line="252" w:lineRule="auto"/>
              <w:rPr>
                <w:rFonts w:ascii="Times New Roman" w:hAnsi="Times New Roman" w:cs="Times New Roman"/>
              </w:rPr>
            </w:pPr>
            <w:r w:rsidRPr="00765EC6">
              <w:rPr>
                <w:rFonts w:ascii="Times New Roman" w:hAnsi="Times New Roman" w:cs="Times New Roman"/>
                <w:b/>
                <w:bCs/>
              </w:rPr>
              <w:t xml:space="preserve">H2. </w:t>
            </w:r>
            <w:r w:rsidR="004122FD" w:rsidRPr="00765EC6">
              <w:rPr>
                <w:rFonts w:ascii="Times New Roman" w:hAnsi="Times New Roman" w:cs="Times New Roman"/>
                <w:b/>
                <w:bCs/>
              </w:rPr>
              <w:t>Demand Creation &amp; Management</w:t>
            </w:r>
            <w:r w:rsidR="00585BAE">
              <w:rPr>
                <w:rFonts w:ascii="Times New Roman" w:hAnsi="Times New Roman" w:cs="Times New Roman"/>
                <w:b/>
                <w:bCs/>
              </w:rPr>
              <w:t xml:space="preserve">: </w:t>
            </w:r>
            <w:r w:rsidR="00022E34" w:rsidRPr="00765EC6">
              <w:rPr>
                <w:rFonts w:ascii="Times New Roman" w:hAnsi="Times New Roman" w:cs="Times New Roman"/>
              </w:rPr>
              <w:t xml:space="preserve">Strengthen demand </w:t>
            </w:r>
            <w:r w:rsidR="00555ADD" w:rsidRPr="00765EC6">
              <w:rPr>
                <w:rFonts w:ascii="Times New Roman" w:hAnsi="Times New Roman" w:cs="Times New Roman"/>
              </w:rPr>
              <w:t xml:space="preserve">signals </w:t>
            </w:r>
            <w:r w:rsidR="006D448B" w:rsidRPr="00765EC6">
              <w:rPr>
                <w:rFonts w:ascii="Times New Roman" w:hAnsi="Times New Roman" w:cs="Times New Roman"/>
              </w:rPr>
              <w:t xml:space="preserve">for </w:t>
            </w:r>
            <w:r w:rsidR="00D85073" w:rsidRPr="00765EC6">
              <w:rPr>
                <w:rFonts w:ascii="Times New Roman" w:hAnsi="Times New Roman" w:cs="Times New Roman"/>
              </w:rPr>
              <w:t>renewable and low carbon hydrogen</w:t>
            </w:r>
            <w:r w:rsidR="00D14AA3" w:rsidRPr="00765EC6">
              <w:rPr>
                <w:rFonts w:ascii="Times New Roman" w:hAnsi="Times New Roman" w:cs="Times New Roman"/>
              </w:rPr>
              <w:t xml:space="preserve"> </w:t>
            </w:r>
            <w:r w:rsidR="006D448B" w:rsidRPr="00765EC6">
              <w:rPr>
                <w:rFonts w:ascii="Times New Roman" w:hAnsi="Times New Roman" w:cs="Times New Roman"/>
              </w:rPr>
              <w:t xml:space="preserve">by </w:t>
            </w:r>
            <w:r w:rsidR="00842B61" w:rsidRPr="00765EC6">
              <w:rPr>
                <w:rFonts w:ascii="Times New Roman" w:hAnsi="Times New Roman" w:cs="Times New Roman"/>
              </w:rPr>
              <w:t xml:space="preserve">coordinating the </w:t>
            </w:r>
            <w:r w:rsidR="000D3F8A" w:rsidRPr="00765EC6">
              <w:rPr>
                <w:rFonts w:ascii="Times New Roman" w:hAnsi="Times New Roman" w:cs="Times New Roman"/>
              </w:rPr>
              <w:t xml:space="preserve">agreement and </w:t>
            </w:r>
            <w:r w:rsidR="00842B61" w:rsidRPr="00765EC6">
              <w:rPr>
                <w:rFonts w:ascii="Times New Roman" w:hAnsi="Times New Roman" w:cs="Times New Roman"/>
              </w:rPr>
              <w:t xml:space="preserve">announcement </w:t>
            </w:r>
            <w:r w:rsidR="000109EA" w:rsidRPr="00765EC6">
              <w:rPr>
                <w:rFonts w:ascii="Times New Roman" w:hAnsi="Times New Roman" w:cs="Times New Roman"/>
              </w:rPr>
              <w:t xml:space="preserve">of packages of </w:t>
            </w:r>
            <w:r w:rsidR="00D20A42" w:rsidRPr="00765EC6">
              <w:rPr>
                <w:rFonts w:ascii="Times New Roman" w:hAnsi="Times New Roman" w:cs="Times New Roman"/>
              </w:rPr>
              <w:t>firm</w:t>
            </w:r>
            <w:r w:rsidR="000109EA" w:rsidRPr="00765EC6">
              <w:rPr>
                <w:rFonts w:ascii="Times New Roman" w:hAnsi="Times New Roman" w:cs="Times New Roman"/>
              </w:rPr>
              <w:t xml:space="preserve"> </w:t>
            </w:r>
            <w:r w:rsidR="003A2821" w:rsidRPr="00765EC6">
              <w:rPr>
                <w:rFonts w:ascii="Times New Roman" w:hAnsi="Times New Roman" w:cs="Times New Roman"/>
              </w:rPr>
              <w:t xml:space="preserve">and sustained </w:t>
            </w:r>
            <w:r w:rsidR="000109EA" w:rsidRPr="00765EC6">
              <w:rPr>
                <w:rFonts w:ascii="Times New Roman" w:hAnsi="Times New Roman" w:cs="Times New Roman"/>
              </w:rPr>
              <w:t xml:space="preserve">public and private commitments </w:t>
            </w:r>
            <w:r w:rsidR="00842B61" w:rsidRPr="00765EC6">
              <w:rPr>
                <w:rFonts w:ascii="Times New Roman" w:hAnsi="Times New Roman" w:cs="Times New Roman"/>
              </w:rPr>
              <w:t xml:space="preserve">for </w:t>
            </w:r>
            <w:r w:rsidR="00555ADD" w:rsidRPr="00765EC6">
              <w:rPr>
                <w:rFonts w:ascii="Times New Roman" w:hAnsi="Times New Roman" w:cs="Times New Roman"/>
              </w:rPr>
              <w:t xml:space="preserve">the </w:t>
            </w:r>
            <w:r w:rsidR="00781A68" w:rsidRPr="00765EC6">
              <w:rPr>
                <w:rFonts w:ascii="Times New Roman" w:hAnsi="Times New Roman" w:cs="Times New Roman"/>
              </w:rPr>
              <w:t xml:space="preserve">large-scale </w:t>
            </w:r>
            <w:r w:rsidR="00555ADD" w:rsidRPr="00765EC6">
              <w:rPr>
                <w:rFonts w:ascii="Times New Roman" w:hAnsi="Times New Roman" w:cs="Times New Roman"/>
              </w:rPr>
              <w:t xml:space="preserve">use </w:t>
            </w:r>
            <w:r w:rsidR="006F7D72" w:rsidRPr="00765EC6">
              <w:rPr>
                <w:rFonts w:ascii="Times New Roman" w:hAnsi="Times New Roman" w:cs="Times New Roman"/>
              </w:rPr>
              <w:t xml:space="preserve">renewable and low carbon hydrogen </w:t>
            </w:r>
            <w:r w:rsidR="00555ADD" w:rsidRPr="00765EC6">
              <w:rPr>
                <w:rFonts w:ascii="Times New Roman" w:hAnsi="Times New Roman" w:cs="Times New Roman"/>
              </w:rPr>
              <w:t xml:space="preserve">that displaces fossil fuel use </w:t>
            </w:r>
            <w:r w:rsidR="00842B61" w:rsidRPr="00765EC6">
              <w:rPr>
                <w:rFonts w:ascii="Times New Roman" w:hAnsi="Times New Roman" w:cs="Times New Roman"/>
              </w:rPr>
              <w:t>in a wide range of applications</w:t>
            </w:r>
            <w:r w:rsidR="004C6D14" w:rsidRPr="00765EC6">
              <w:rPr>
                <w:rFonts w:ascii="Times New Roman" w:hAnsi="Times New Roman" w:cs="Times New Roman"/>
              </w:rPr>
              <w:t xml:space="preserve">. </w:t>
            </w:r>
            <w:r w:rsidR="004E17F7" w:rsidRPr="00765EC6">
              <w:rPr>
                <w:rFonts w:ascii="Times New Roman" w:hAnsi="Times New Roman" w:cs="Times New Roman"/>
              </w:rPr>
              <w:t>A</w:t>
            </w:r>
            <w:r w:rsidR="00842B61" w:rsidRPr="00765EC6">
              <w:rPr>
                <w:rFonts w:ascii="Times New Roman" w:eastAsia="Calibri" w:hAnsi="Times New Roman" w:cs="Times New Roman"/>
                <w:color w:val="212529"/>
              </w:rPr>
              <w:t xml:space="preserve">ggregated commitments </w:t>
            </w:r>
            <w:r w:rsidR="0007247D" w:rsidRPr="00765EC6">
              <w:rPr>
                <w:rFonts w:ascii="Times New Roman" w:eastAsia="Calibri" w:hAnsi="Times New Roman" w:cs="Times New Roman"/>
                <w:color w:val="212529"/>
              </w:rPr>
              <w:t xml:space="preserve">to be </w:t>
            </w:r>
            <w:r w:rsidR="00842B61" w:rsidRPr="00765EC6">
              <w:rPr>
                <w:rFonts w:ascii="Times New Roman" w:eastAsia="Calibri" w:hAnsi="Times New Roman" w:cs="Times New Roman"/>
                <w:color w:val="212529"/>
              </w:rPr>
              <w:t>announced by</w:t>
            </w:r>
            <w:r w:rsidR="003306DD" w:rsidRPr="00765EC6">
              <w:rPr>
                <w:rFonts w:ascii="Times New Roman" w:eastAsia="Calibri" w:hAnsi="Times New Roman" w:cs="Times New Roman"/>
                <w:color w:val="212529"/>
              </w:rPr>
              <w:t xml:space="preserve"> C</w:t>
            </w:r>
            <w:r w:rsidR="00842B61" w:rsidRPr="00765EC6">
              <w:rPr>
                <w:rFonts w:ascii="Times New Roman" w:eastAsia="Calibri" w:hAnsi="Times New Roman" w:cs="Times New Roman"/>
                <w:color w:val="212529"/>
              </w:rPr>
              <w:t>OP28</w:t>
            </w:r>
            <w:r w:rsidR="00500262" w:rsidRPr="00765EC6">
              <w:rPr>
                <w:rFonts w:ascii="Times New Roman" w:eastAsia="Calibri" w:hAnsi="Times New Roman" w:cs="Times New Roman"/>
                <w:color w:val="212529"/>
              </w:rPr>
              <w:t xml:space="preserve"> </w:t>
            </w:r>
            <w:r w:rsidR="00F966D5" w:rsidRPr="00765EC6">
              <w:rPr>
                <w:rFonts w:ascii="Times New Roman" w:hAnsi="Times New Roman" w:cs="Times New Roman"/>
              </w:rPr>
              <w:t>and updated at subsequent</w:t>
            </w:r>
            <w:r w:rsidR="00500262" w:rsidRPr="00765EC6">
              <w:rPr>
                <w:rFonts w:ascii="Times New Roman" w:hAnsi="Times New Roman" w:cs="Times New Roman"/>
              </w:rPr>
              <w:t xml:space="preserve"> COP summits</w:t>
            </w:r>
            <w:r w:rsidR="00842B61" w:rsidRPr="00765EC6">
              <w:rPr>
                <w:rFonts w:ascii="Times New Roman" w:eastAsia="Calibri" w:hAnsi="Times New Roman" w:cs="Times New Roman"/>
                <w:color w:val="212529"/>
              </w:rPr>
              <w:t>.</w:t>
            </w:r>
          </w:p>
        </w:tc>
        <w:tc>
          <w:tcPr>
            <w:tcW w:w="5206" w:type="dxa"/>
          </w:tcPr>
          <w:p w14:paraId="71A3C031" w14:textId="77777777" w:rsidR="00300D78" w:rsidRPr="00765EC6" w:rsidRDefault="00BC447F" w:rsidP="00466F58">
            <w:pPr>
              <w:spacing w:before="80" w:after="80" w:line="252" w:lineRule="auto"/>
              <w:rPr>
                <w:rFonts w:ascii="Times New Roman" w:hAnsi="Times New Roman" w:cs="Times New Roman"/>
              </w:rPr>
            </w:pPr>
            <w:r w:rsidRPr="00765EC6">
              <w:rPr>
                <w:rFonts w:ascii="Times New Roman" w:hAnsi="Times New Roman" w:cs="Times New Roman"/>
              </w:rPr>
              <w:t xml:space="preserve">By joining and working through one or more leading initiative in this field </w:t>
            </w:r>
            <w:r w:rsidR="00300D78" w:rsidRPr="00765EC6">
              <w:rPr>
                <w:rFonts w:ascii="Times New Roman" w:hAnsi="Times New Roman" w:cs="Times New Roman"/>
              </w:rPr>
              <w:t xml:space="preserve">to </w:t>
            </w:r>
            <w:r w:rsidR="008E2002" w:rsidRPr="00765EC6">
              <w:rPr>
                <w:rFonts w:ascii="Times New Roman" w:hAnsi="Times New Roman" w:cs="Times New Roman"/>
              </w:rPr>
              <w:t>encourag</w:t>
            </w:r>
            <w:r w:rsidR="00300D78" w:rsidRPr="00765EC6">
              <w:rPr>
                <w:rFonts w:ascii="Times New Roman" w:hAnsi="Times New Roman" w:cs="Times New Roman"/>
              </w:rPr>
              <w:t>e</w:t>
            </w:r>
            <w:r w:rsidR="008E2002" w:rsidRPr="00765EC6">
              <w:rPr>
                <w:rFonts w:ascii="Times New Roman" w:hAnsi="Times New Roman" w:cs="Times New Roman"/>
              </w:rPr>
              <w:t xml:space="preserve"> </w:t>
            </w:r>
            <w:r w:rsidR="00887984" w:rsidRPr="00765EC6">
              <w:rPr>
                <w:rFonts w:ascii="Times New Roman" w:hAnsi="Times New Roman" w:cs="Times New Roman"/>
              </w:rPr>
              <w:t>coalition</w:t>
            </w:r>
            <w:r w:rsidR="00B61E24" w:rsidRPr="00765EC6">
              <w:rPr>
                <w:rFonts w:ascii="Times New Roman" w:hAnsi="Times New Roman" w:cs="Times New Roman"/>
              </w:rPr>
              <w:t>s</w:t>
            </w:r>
            <w:r w:rsidR="00887984" w:rsidRPr="00765EC6">
              <w:rPr>
                <w:rFonts w:ascii="Times New Roman" w:hAnsi="Times New Roman" w:cs="Times New Roman"/>
              </w:rPr>
              <w:t xml:space="preserve"> of leading countries &amp; companies, to make</w:t>
            </w:r>
            <w:r w:rsidR="003B3F5C" w:rsidRPr="00765EC6">
              <w:rPr>
                <w:rFonts w:ascii="Times New Roman" w:hAnsi="Times New Roman" w:cs="Times New Roman"/>
              </w:rPr>
              <w:t xml:space="preserve"> </w:t>
            </w:r>
            <w:r w:rsidR="00887984" w:rsidRPr="00765EC6">
              <w:rPr>
                <w:rFonts w:ascii="Times New Roman" w:hAnsi="Times New Roman" w:cs="Times New Roman"/>
              </w:rPr>
              <w:t>increased</w:t>
            </w:r>
            <w:r w:rsidR="002F691C" w:rsidRPr="00765EC6">
              <w:rPr>
                <w:rFonts w:ascii="Times New Roman" w:hAnsi="Times New Roman" w:cs="Times New Roman"/>
              </w:rPr>
              <w:t xml:space="preserve"> </w:t>
            </w:r>
            <w:r w:rsidR="003B3F5C" w:rsidRPr="00765EC6">
              <w:rPr>
                <w:rFonts w:ascii="Times New Roman" w:hAnsi="Times New Roman" w:cs="Times New Roman"/>
              </w:rPr>
              <w:t xml:space="preserve">and firm </w:t>
            </w:r>
            <w:r w:rsidR="00887984" w:rsidRPr="00765EC6">
              <w:rPr>
                <w:rFonts w:ascii="Times New Roman" w:hAnsi="Times New Roman" w:cs="Times New Roman"/>
              </w:rPr>
              <w:t>commitments to renewable and/or low carbon hydrogen use in end-use applications</w:t>
            </w:r>
            <w:r w:rsidR="00B51983" w:rsidRPr="00765EC6">
              <w:rPr>
                <w:rFonts w:ascii="Times New Roman" w:hAnsi="Times New Roman" w:cs="Times New Roman"/>
              </w:rPr>
              <w:t xml:space="preserve"> and to </w:t>
            </w:r>
            <w:r w:rsidR="00887984" w:rsidRPr="00765EC6">
              <w:rPr>
                <w:rFonts w:ascii="Times New Roman" w:hAnsi="Times New Roman" w:cs="Times New Roman"/>
              </w:rPr>
              <w:t xml:space="preserve">aggregate and communicate those commitments widely. </w:t>
            </w:r>
          </w:p>
          <w:p w14:paraId="1B566206" w14:textId="082E41EC" w:rsidR="00CB4B53" w:rsidRPr="00765EC6" w:rsidRDefault="00286F50" w:rsidP="00466F58">
            <w:pPr>
              <w:spacing w:before="80" w:after="80" w:line="252" w:lineRule="auto"/>
              <w:rPr>
                <w:rFonts w:ascii="Times New Roman" w:hAnsi="Times New Roman" w:cs="Times New Roman"/>
              </w:rPr>
            </w:pPr>
            <w:r w:rsidRPr="00765EC6">
              <w:rPr>
                <w:rFonts w:ascii="Times New Roman" w:hAnsi="Times New Roman" w:cs="Times New Roman"/>
              </w:rPr>
              <w:t xml:space="preserve">This </w:t>
            </w:r>
            <w:r w:rsidR="0062726F" w:rsidRPr="00765EC6">
              <w:rPr>
                <w:rFonts w:ascii="Times New Roman" w:hAnsi="Times New Roman" w:cs="Times New Roman"/>
              </w:rPr>
              <w:t xml:space="preserve">work would be </w:t>
            </w:r>
            <w:r w:rsidRPr="00765EC6">
              <w:rPr>
                <w:rFonts w:ascii="Times New Roman" w:hAnsi="Times New Roman" w:cs="Times New Roman"/>
              </w:rPr>
              <w:t xml:space="preserve">coordinated </w:t>
            </w:r>
            <w:r w:rsidR="00D73BF7" w:rsidRPr="00765EC6">
              <w:rPr>
                <w:rFonts w:ascii="Times New Roman" w:hAnsi="Times New Roman" w:cs="Times New Roman"/>
              </w:rPr>
              <w:t>with those</w:t>
            </w:r>
            <w:r w:rsidRPr="00765EC6">
              <w:rPr>
                <w:rFonts w:ascii="Times New Roman" w:hAnsi="Times New Roman" w:cs="Times New Roman"/>
              </w:rPr>
              <w:t xml:space="preserve"> initiatives </w:t>
            </w:r>
            <w:r w:rsidR="000317AB" w:rsidRPr="00765EC6">
              <w:rPr>
                <w:rFonts w:ascii="Times New Roman" w:hAnsi="Times New Roman" w:cs="Times New Roman"/>
              </w:rPr>
              <w:t xml:space="preserve">active in supporting </w:t>
            </w:r>
            <w:r w:rsidR="00D73BF7" w:rsidRPr="00765EC6">
              <w:rPr>
                <w:rFonts w:ascii="Times New Roman" w:hAnsi="Times New Roman" w:cs="Times New Roman"/>
              </w:rPr>
              <w:t>the use of renewable and low carbon hydrogen</w:t>
            </w:r>
            <w:r w:rsidR="0071575F" w:rsidRPr="00765EC6">
              <w:rPr>
                <w:rFonts w:ascii="Times New Roman" w:hAnsi="Times New Roman" w:cs="Times New Roman"/>
              </w:rPr>
              <w:t xml:space="preserve"> to displace fossil fuel use</w:t>
            </w:r>
            <w:r w:rsidR="000317AB" w:rsidRPr="00765EC6">
              <w:rPr>
                <w:rFonts w:ascii="Times New Roman" w:hAnsi="Times New Roman" w:cs="Times New Roman"/>
              </w:rPr>
              <w:t xml:space="preserve">, </w:t>
            </w:r>
            <w:r w:rsidRPr="00765EC6">
              <w:rPr>
                <w:rFonts w:ascii="Times New Roman" w:hAnsi="Times New Roman" w:cs="Times New Roman"/>
              </w:rPr>
              <w:t>including the First Movers Coalition</w:t>
            </w:r>
            <w:r w:rsidR="002554E5" w:rsidRPr="00765EC6">
              <w:rPr>
                <w:rFonts w:ascii="Times New Roman" w:hAnsi="Times New Roman" w:cs="Times New Roman"/>
              </w:rPr>
              <w:t xml:space="preserve">, </w:t>
            </w:r>
            <w:r w:rsidR="00880D3F" w:rsidRPr="00765EC6">
              <w:rPr>
                <w:rFonts w:ascii="Times New Roman" w:hAnsi="Times New Roman" w:cs="Times New Roman"/>
              </w:rPr>
              <w:t xml:space="preserve">the Clean Energy Ministerial Hydrogen </w:t>
            </w:r>
            <w:r w:rsidR="00D17CEF" w:rsidRPr="00765EC6">
              <w:rPr>
                <w:rFonts w:ascii="Times New Roman" w:hAnsi="Times New Roman" w:cs="Times New Roman"/>
              </w:rPr>
              <w:t>Initiative,</w:t>
            </w:r>
            <w:r w:rsidR="00880D3F" w:rsidRPr="00765EC6">
              <w:rPr>
                <w:rFonts w:ascii="Times New Roman" w:hAnsi="Times New Roman" w:cs="Times New Roman"/>
              </w:rPr>
              <w:t xml:space="preserve"> </w:t>
            </w:r>
            <w:r w:rsidRPr="00765EC6">
              <w:rPr>
                <w:rFonts w:ascii="Times New Roman" w:hAnsi="Times New Roman" w:cs="Times New Roman"/>
              </w:rPr>
              <w:t xml:space="preserve">and the </w:t>
            </w:r>
            <w:r w:rsidR="00D17CEF" w:rsidRPr="00765EC6">
              <w:rPr>
                <w:rFonts w:ascii="Times New Roman" w:hAnsi="Times New Roman" w:cs="Times New Roman"/>
              </w:rPr>
              <w:t xml:space="preserve">Mission Innovation </w:t>
            </w:r>
            <w:r w:rsidRPr="00765EC6">
              <w:rPr>
                <w:rFonts w:ascii="Times New Roman" w:hAnsi="Times New Roman" w:cs="Times New Roman"/>
              </w:rPr>
              <w:t>Clean Hydrogen Mission.</w:t>
            </w:r>
          </w:p>
        </w:tc>
        <w:tc>
          <w:tcPr>
            <w:tcW w:w="2126" w:type="dxa"/>
          </w:tcPr>
          <w:p w14:paraId="0624D250" w14:textId="290E4E8F" w:rsidR="00880D3F" w:rsidRPr="00765EC6" w:rsidRDefault="00880D3F" w:rsidP="00B33D0D">
            <w:pPr>
              <w:spacing w:before="100" w:after="100" w:line="252" w:lineRule="auto"/>
              <w:rPr>
                <w:rFonts w:ascii="Times New Roman" w:hAnsi="Times New Roman" w:cs="Times New Roman"/>
              </w:rPr>
            </w:pPr>
            <w:r w:rsidRPr="00765EC6">
              <w:rPr>
                <w:rFonts w:ascii="Times New Roman" w:hAnsi="Times New Roman" w:cs="Times New Roman"/>
              </w:rPr>
              <w:t>First Movers Coalition</w:t>
            </w:r>
          </w:p>
          <w:p w14:paraId="50701921" w14:textId="4BEA604A" w:rsidR="006E3DF8" w:rsidRPr="00765EC6" w:rsidRDefault="00880D3F" w:rsidP="00B33D0D">
            <w:pPr>
              <w:spacing w:before="100" w:after="100" w:line="252" w:lineRule="auto"/>
              <w:rPr>
                <w:rFonts w:ascii="Times New Roman" w:hAnsi="Times New Roman" w:cs="Times New Roman"/>
              </w:rPr>
            </w:pPr>
            <w:r w:rsidRPr="00765EC6">
              <w:rPr>
                <w:rFonts w:ascii="Times New Roman" w:hAnsi="Times New Roman" w:cs="Times New Roman"/>
              </w:rPr>
              <w:t>Clean Energy Ministerial Hydrogen Initiative</w:t>
            </w:r>
          </w:p>
          <w:p w14:paraId="5C91A16C" w14:textId="1D95F0E6" w:rsidR="006E3DF8" w:rsidRPr="00765EC6" w:rsidRDefault="00CC057B" w:rsidP="00B33D0D">
            <w:pPr>
              <w:spacing w:before="100" w:after="100" w:line="252" w:lineRule="auto"/>
              <w:rPr>
                <w:rFonts w:ascii="Times New Roman" w:hAnsi="Times New Roman" w:cs="Times New Roman"/>
              </w:rPr>
            </w:pPr>
            <w:r w:rsidRPr="00765EC6">
              <w:rPr>
                <w:rFonts w:ascii="Times New Roman" w:hAnsi="Times New Roman" w:cs="Times New Roman"/>
              </w:rPr>
              <w:t xml:space="preserve">Mission Innovation </w:t>
            </w:r>
            <w:r w:rsidR="002319C3" w:rsidRPr="00765EC6">
              <w:rPr>
                <w:rFonts w:ascii="Times New Roman" w:hAnsi="Times New Roman" w:cs="Times New Roman"/>
              </w:rPr>
              <w:t>Clean Hydrogen Mission</w:t>
            </w:r>
          </w:p>
        </w:tc>
        <w:tc>
          <w:tcPr>
            <w:tcW w:w="2333" w:type="dxa"/>
          </w:tcPr>
          <w:p w14:paraId="6A397759" w14:textId="77777777" w:rsidR="3207E291" w:rsidRDefault="00035977" w:rsidP="00035977">
            <w:pPr>
              <w:rPr>
                <w:rFonts w:ascii="Times New Roman" w:hAnsi="Times New Roman" w:cs="Times New Roman"/>
              </w:rPr>
            </w:pPr>
            <w:r>
              <w:rPr>
                <w:rFonts w:ascii="Times New Roman" w:hAnsi="Times New Roman" w:cs="Times New Roman"/>
              </w:rPr>
              <w:t>Australia</w:t>
            </w:r>
          </w:p>
          <w:p w14:paraId="148A23E5" w14:textId="77777777" w:rsidR="007A04B6" w:rsidRDefault="007A04B6" w:rsidP="007A04B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1B41AA7F" w14:textId="77777777" w:rsidR="00035977" w:rsidRDefault="00035977" w:rsidP="00035977">
            <w:pPr>
              <w:rPr>
                <w:rFonts w:ascii="Times New Roman" w:hAnsi="Times New Roman" w:cs="Times New Roman"/>
              </w:rPr>
            </w:pPr>
            <w:r>
              <w:rPr>
                <w:rFonts w:ascii="Times New Roman" w:hAnsi="Times New Roman" w:cs="Times New Roman"/>
              </w:rPr>
              <w:t>Canada</w:t>
            </w:r>
          </w:p>
          <w:p w14:paraId="54F83B23" w14:textId="77777777" w:rsidR="00035977" w:rsidRDefault="00035977" w:rsidP="00035977">
            <w:pPr>
              <w:rPr>
                <w:rFonts w:ascii="Times New Roman" w:hAnsi="Times New Roman" w:cs="Times New Roman"/>
              </w:rPr>
            </w:pPr>
            <w:r>
              <w:rPr>
                <w:rFonts w:ascii="Times New Roman" w:hAnsi="Times New Roman" w:cs="Times New Roman"/>
              </w:rPr>
              <w:t>European Commission</w:t>
            </w:r>
          </w:p>
          <w:p w14:paraId="42DBE6CB" w14:textId="77777777" w:rsidR="00035977" w:rsidRDefault="00035977" w:rsidP="00035977">
            <w:pPr>
              <w:rPr>
                <w:rFonts w:ascii="Times New Roman" w:hAnsi="Times New Roman" w:cs="Times New Roman"/>
              </w:rPr>
            </w:pPr>
            <w:r>
              <w:rPr>
                <w:rFonts w:ascii="Times New Roman" w:hAnsi="Times New Roman" w:cs="Times New Roman"/>
              </w:rPr>
              <w:t>Finland</w:t>
            </w:r>
          </w:p>
          <w:p w14:paraId="091E467C" w14:textId="77777777" w:rsidR="00281374" w:rsidRDefault="00035977" w:rsidP="00281374">
            <w:pPr>
              <w:rPr>
                <w:rFonts w:ascii="Times New Roman" w:eastAsia="Times New Roman" w:hAnsi="Times New Roman" w:cs="Times New Roman"/>
                <w:lang w:eastAsia="en-GB"/>
              </w:rPr>
            </w:pPr>
            <w:r>
              <w:rPr>
                <w:rFonts w:ascii="Times New Roman" w:hAnsi="Times New Roman" w:cs="Times New Roman"/>
              </w:rPr>
              <w:t>Germany</w:t>
            </w:r>
            <w:r w:rsidR="00281374">
              <w:rPr>
                <w:rFonts w:ascii="Times New Roman" w:eastAsia="Times New Roman" w:hAnsi="Times New Roman" w:cs="Times New Roman"/>
                <w:lang w:eastAsia="en-GB"/>
              </w:rPr>
              <w:t xml:space="preserve"> </w:t>
            </w:r>
          </w:p>
          <w:p w14:paraId="281F3124" w14:textId="0FB82853" w:rsidR="00035977" w:rsidRPr="00281374" w:rsidRDefault="00281374" w:rsidP="00035977">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0E10FF91" w14:textId="77777777" w:rsidR="00035977" w:rsidRDefault="00035977" w:rsidP="00035977">
            <w:pPr>
              <w:rPr>
                <w:rFonts w:ascii="Times New Roman" w:hAnsi="Times New Roman" w:cs="Times New Roman"/>
              </w:rPr>
            </w:pPr>
            <w:r>
              <w:rPr>
                <w:rFonts w:ascii="Times New Roman" w:hAnsi="Times New Roman" w:cs="Times New Roman"/>
              </w:rPr>
              <w:t>Ireland</w:t>
            </w:r>
          </w:p>
          <w:p w14:paraId="7C4DBEF6" w14:textId="77777777" w:rsidR="00035977" w:rsidRDefault="00035977" w:rsidP="00035977">
            <w:pPr>
              <w:rPr>
                <w:rFonts w:ascii="Times New Roman" w:hAnsi="Times New Roman" w:cs="Times New Roman"/>
              </w:rPr>
            </w:pPr>
            <w:r>
              <w:rPr>
                <w:rFonts w:ascii="Times New Roman" w:hAnsi="Times New Roman" w:cs="Times New Roman"/>
              </w:rPr>
              <w:t>Italy</w:t>
            </w:r>
          </w:p>
          <w:p w14:paraId="3D10B393" w14:textId="77777777" w:rsidR="00035977" w:rsidRDefault="00035977" w:rsidP="00035977">
            <w:pPr>
              <w:rPr>
                <w:rFonts w:ascii="Times New Roman" w:hAnsi="Times New Roman" w:cs="Times New Roman"/>
              </w:rPr>
            </w:pPr>
            <w:r>
              <w:rPr>
                <w:rFonts w:ascii="Times New Roman" w:hAnsi="Times New Roman" w:cs="Times New Roman"/>
              </w:rPr>
              <w:t>Japan</w:t>
            </w:r>
          </w:p>
          <w:p w14:paraId="6897F9B5" w14:textId="77777777" w:rsidR="00035977" w:rsidRDefault="00035977" w:rsidP="00035977">
            <w:pPr>
              <w:rPr>
                <w:rFonts w:ascii="Times New Roman" w:hAnsi="Times New Roman" w:cs="Times New Roman"/>
              </w:rPr>
            </w:pPr>
            <w:r>
              <w:rPr>
                <w:rFonts w:ascii="Times New Roman" w:hAnsi="Times New Roman" w:cs="Times New Roman"/>
              </w:rPr>
              <w:t>Kenya</w:t>
            </w:r>
          </w:p>
          <w:p w14:paraId="549C2E1E" w14:textId="55E42319" w:rsidR="00D74B3D" w:rsidRDefault="00D74B3D" w:rsidP="00035977">
            <w:pPr>
              <w:rPr>
                <w:rFonts w:ascii="Times New Roman" w:hAnsi="Times New Roman" w:cs="Times New Roman"/>
              </w:rPr>
            </w:pPr>
            <w:r>
              <w:rPr>
                <w:rFonts w:ascii="Times New Roman" w:hAnsi="Times New Roman" w:cs="Times New Roman"/>
              </w:rPr>
              <w:t>Netherlands</w:t>
            </w:r>
          </w:p>
          <w:p w14:paraId="307A0790" w14:textId="77777777" w:rsidR="00035977" w:rsidRDefault="00035977" w:rsidP="00035977">
            <w:pPr>
              <w:rPr>
                <w:rFonts w:ascii="Times New Roman" w:hAnsi="Times New Roman" w:cs="Times New Roman"/>
              </w:rPr>
            </w:pPr>
            <w:r>
              <w:rPr>
                <w:rFonts w:ascii="Times New Roman" w:hAnsi="Times New Roman" w:cs="Times New Roman"/>
              </w:rPr>
              <w:t>Norway</w:t>
            </w:r>
          </w:p>
          <w:p w14:paraId="7ECD9738" w14:textId="77777777" w:rsidR="00035977" w:rsidRDefault="00035977" w:rsidP="00035977">
            <w:pPr>
              <w:rPr>
                <w:rFonts w:ascii="Times New Roman" w:hAnsi="Times New Roman" w:cs="Times New Roman"/>
              </w:rPr>
            </w:pPr>
            <w:r>
              <w:rPr>
                <w:rFonts w:ascii="Times New Roman" w:hAnsi="Times New Roman" w:cs="Times New Roman"/>
              </w:rPr>
              <w:t>Panama</w:t>
            </w:r>
          </w:p>
          <w:p w14:paraId="3ACF5532" w14:textId="77777777" w:rsidR="00091C93" w:rsidRDefault="00091C93" w:rsidP="00091C93">
            <w:pPr>
              <w:rPr>
                <w:rFonts w:ascii="Times New Roman" w:eastAsia="Calibri" w:hAnsi="Times New Roman" w:cs="Times New Roman"/>
                <w:color w:val="212529"/>
              </w:rPr>
            </w:pPr>
            <w:r>
              <w:rPr>
                <w:rFonts w:ascii="Times New Roman" w:eastAsia="Calibri" w:hAnsi="Times New Roman" w:cs="Times New Roman"/>
                <w:color w:val="212529"/>
              </w:rPr>
              <w:t>Spain</w:t>
            </w:r>
          </w:p>
          <w:p w14:paraId="6B7A9FA4" w14:textId="77777777" w:rsidR="00035977" w:rsidRDefault="00035977" w:rsidP="00035977">
            <w:pPr>
              <w:rPr>
                <w:rFonts w:ascii="Times New Roman" w:hAnsi="Times New Roman" w:cs="Times New Roman"/>
              </w:rPr>
            </w:pPr>
            <w:r>
              <w:rPr>
                <w:rFonts w:ascii="Times New Roman" w:hAnsi="Times New Roman" w:cs="Times New Roman"/>
              </w:rPr>
              <w:t>Sweden</w:t>
            </w:r>
          </w:p>
          <w:p w14:paraId="13DADF51" w14:textId="77777777" w:rsidR="3207E291" w:rsidRDefault="00035977" w:rsidP="00035977">
            <w:pPr>
              <w:rPr>
                <w:rFonts w:ascii="Times New Roman" w:hAnsi="Times New Roman" w:cs="Times New Roman"/>
              </w:rPr>
            </w:pPr>
            <w:r>
              <w:rPr>
                <w:rFonts w:ascii="Times New Roman" w:hAnsi="Times New Roman" w:cs="Times New Roman"/>
              </w:rPr>
              <w:t>United Kingdom</w:t>
            </w:r>
          </w:p>
          <w:p w14:paraId="7C608183" w14:textId="694E53CB" w:rsidR="0059748D" w:rsidRPr="00765EC6" w:rsidRDefault="0059748D" w:rsidP="00035977">
            <w:pPr>
              <w:rPr>
                <w:rFonts w:ascii="Times New Roman" w:hAnsi="Times New Roman" w:cs="Times New Roman"/>
              </w:rPr>
            </w:pPr>
            <w:r>
              <w:rPr>
                <w:rFonts w:ascii="Times New Roman" w:hAnsi="Times New Roman" w:cs="Times New Roman"/>
              </w:rPr>
              <w:t>United States</w:t>
            </w:r>
          </w:p>
        </w:tc>
      </w:tr>
      <w:tr w:rsidR="00EB7602" w:rsidRPr="00765EC6" w14:paraId="794ED8C8" w14:textId="77777777" w:rsidTr="181DB00D">
        <w:trPr>
          <w:trHeight w:val="1451"/>
        </w:trPr>
        <w:tc>
          <w:tcPr>
            <w:tcW w:w="13531" w:type="dxa"/>
            <w:gridSpan w:val="4"/>
            <w:shd w:val="clear" w:color="auto" w:fill="E7E6E6" w:themeFill="background2"/>
            <w:vAlign w:val="center"/>
          </w:tcPr>
          <w:p w14:paraId="1ABDAAD1" w14:textId="2A5D0289" w:rsidR="00EB7602" w:rsidRPr="00F37B62" w:rsidRDefault="00B24F9D" w:rsidP="00F37B62">
            <w:pPr>
              <w:autoSpaceDE w:val="0"/>
              <w:autoSpaceDN w:val="0"/>
              <w:adjustRightInd w:val="0"/>
              <w:rPr>
                <w:rFonts w:ascii="Times New Roman" w:hAnsi="Times New Roman" w:cs="Times New Roman"/>
                <w:i/>
                <w:iCs/>
              </w:rPr>
            </w:pPr>
            <w:r>
              <w:rPr>
                <w:rFonts w:ascii="Times New Roman" w:hAnsi="Times New Roman" w:cs="Times New Roman"/>
                <w:b/>
                <w:bCs/>
                <w:i/>
                <w:iCs/>
              </w:rPr>
              <w:lastRenderedPageBreak/>
              <w:t xml:space="preserve">Breakthrough Agenda Report </w:t>
            </w:r>
            <w:r w:rsidR="00F37B62">
              <w:rPr>
                <w:rFonts w:ascii="Times New Roman" w:hAnsi="Times New Roman" w:cs="Times New Roman"/>
                <w:b/>
                <w:bCs/>
                <w:i/>
                <w:iCs/>
              </w:rPr>
              <w:t xml:space="preserve">Recommendation: </w:t>
            </w:r>
            <w:r w:rsidR="00F37B62" w:rsidRPr="00F37B62">
              <w:rPr>
                <w:rFonts w:ascii="Times New Roman" w:hAnsi="Times New Roman" w:cs="Times New Roman"/>
                <w:i/>
                <w:iCs/>
              </w:rPr>
              <w:t>Governments and companies should work together to dramatically increase the number and geographical distribution of hydrogen demonstration projects and to ensure that these appropriately cover each of hydrogen’s high-value end use sectors, including maritime shipping, heavy industry, and long-duration energy storage. Governments and the private sector should agree on principles to guide a deeper and more rapid sharing of knowledge from these demonstrators, including a commitment to share the lessons learned from all publicly funded projects. Doing so will help overcome technology availability barriers and accelerate the pace of deployment in multiple regions in parallel.</w:t>
            </w:r>
          </w:p>
        </w:tc>
      </w:tr>
      <w:tr w:rsidR="00CB4B53" w:rsidRPr="00765EC6" w14:paraId="08DB991B" w14:textId="77777777" w:rsidTr="00281374">
        <w:tc>
          <w:tcPr>
            <w:tcW w:w="3866" w:type="dxa"/>
          </w:tcPr>
          <w:p w14:paraId="3198EDA7" w14:textId="1DD8E2DC" w:rsidR="00472D5D" w:rsidRPr="00765EC6" w:rsidRDefault="00793B9B" w:rsidP="00466F58">
            <w:pPr>
              <w:spacing w:before="80" w:after="80" w:line="252" w:lineRule="auto"/>
              <w:rPr>
                <w:rFonts w:ascii="Times New Roman" w:hAnsi="Times New Roman" w:cs="Times New Roman"/>
              </w:rPr>
            </w:pPr>
            <w:r w:rsidRPr="181DB00D">
              <w:rPr>
                <w:rFonts w:ascii="Times New Roman" w:hAnsi="Times New Roman" w:cs="Times New Roman"/>
                <w:b/>
                <w:bCs/>
              </w:rPr>
              <w:t xml:space="preserve">H3. </w:t>
            </w:r>
            <w:r w:rsidR="00F71BF7" w:rsidRPr="181DB00D">
              <w:rPr>
                <w:rFonts w:ascii="Times New Roman" w:hAnsi="Times New Roman" w:cs="Times New Roman"/>
                <w:b/>
                <w:bCs/>
              </w:rPr>
              <w:t>Research &amp; Innovation:</w:t>
            </w:r>
            <w:r w:rsidR="00C27B94" w:rsidRPr="181DB00D">
              <w:rPr>
                <w:rFonts w:ascii="Times New Roman" w:hAnsi="Times New Roman" w:cs="Times New Roman"/>
              </w:rPr>
              <w:t xml:space="preserve"> </w:t>
            </w:r>
            <w:r w:rsidR="00EA699D" w:rsidRPr="181DB00D">
              <w:rPr>
                <w:rFonts w:ascii="Times New Roman" w:hAnsi="Times New Roman" w:cs="Times New Roman"/>
              </w:rPr>
              <w:t>Drive</w:t>
            </w:r>
            <w:r w:rsidR="008213BA" w:rsidRPr="181DB00D">
              <w:rPr>
                <w:rFonts w:ascii="Times New Roman" w:hAnsi="Times New Roman" w:cs="Times New Roman"/>
              </w:rPr>
              <w:t xml:space="preserve"> </w:t>
            </w:r>
            <w:r w:rsidR="00EA699D" w:rsidRPr="181DB00D">
              <w:rPr>
                <w:rFonts w:ascii="Times New Roman" w:hAnsi="Times New Roman" w:cs="Times New Roman"/>
              </w:rPr>
              <w:t>a</w:t>
            </w:r>
            <w:r w:rsidR="008213BA" w:rsidRPr="181DB00D">
              <w:rPr>
                <w:rFonts w:ascii="Times New Roman" w:hAnsi="Times New Roman" w:cs="Times New Roman"/>
              </w:rPr>
              <w:t xml:space="preserve"> </w:t>
            </w:r>
            <w:r w:rsidR="00A4228C" w:rsidRPr="181DB00D">
              <w:rPr>
                <w:rFonts w:ascii="Times New Roman" w:hAnsi="Times New Roman" w:cs="Times New Roman"/>
              </w:rPr>
              <w:t xml:space="preserve">significant </w:t>
            </w:r>
            <w:r w:rsidR="00EA699D" w:rsidRPr="181DB00D">
              <w:rPr>
                <w:rFonts w:ascii="Times New Roman" w:hAnsi="Times New Roman" w:cs="Times New Roman"/>
              </w:rPr>
              <w:t>i</w:t>
            </w:r>
            <w:r w:rsidR="00472D5D" w:rsidRPr="181DB00D">
              <w:rPr>
                <w:rFonts w:ascii="Times New Roman" w:hAnsi="Times New Roman" w:cs="Times New Roman"/>
              </w:rPr>
              <w:t xml:space="preserve">ncrease </w:t>
            </w:r>
            <w:r w:rsidR="00EA699D" w:rsidRPr="181DB00D">
              <w:rPr>
                <w:rFonts w:ascii="Times New Roman" w:hAnsi="Times New Roman" w:cs="Times New Roman"/>
              </w:rPr>
              <w:t xml:space="preserve">in </w:t>
            </w:r>
            <w:r w:rsidR="00472D5D" w:rsidRPr="181DB00D">
              <w:rPr>
                <w:rFonts w:ascii="Times New Roman" w:hAnsi="Times New Roman" w:cs="Times New Roman"/>
              </w:rPr>
              <w:t xml:space="preserve">the number and geographical distribution of </w:t>
            </w:r>
            <w:r w:rsidR="009E62E6" w:rsidRPr="181DB00D">
              <w:rPr>
                <w:rFonts w:ascii="Times New Roman" w:hAnsi="Times New Roman" w:cs="Times New Roman"/>
              </w:rPr>
              <w:t xml:space="preserve">new </w:t>
            </w:r>
            <w:r w:rsidR="00472D5D" w:rsidRPr="181DB00D">
              <w:rPr>
                <w:rFonts w:ascii="Times New Roman" w:hAnsi="Times New Roman" w:cs="Times New Roman"/>
              </w:rPr>
              <w:t xml:space="preserve">hydrogen projects </w:t>
            </w:r>
            <w:r w:rsidR="003D6171" w:rsidRPr="181DB00D">
              <w:rPr>
                <w:rFonts w:ascii="Times New Roman" w:hAnsi="Times New Roman" w:cs="Times New Roman"/>
              </w:rPr>
              <w:t xml:space="preserve">across </w:t>
            </w:r>
            <w:r w:rsidR="00C97A64" w:rsidRPr="181DB00D">
              <w:rPr>
                <w:rFonts w:ascii="Times New Roman" w:hAnsi="Times New Roman" w:cs="Times New Roman"/>
              </w:rPr>
              <w:t xml:space="preserve">a diversity </w:t>
            </w:r>
            <w:r w:rsidR="00472D5D" w:rsidRPr="181DB00D">
              <w:rPr>
                <w:rFonts w:ascii="Times New Roman" w:hAnsi="Times New Roman" w:cs="Times New Roman"/>
              </w:rPr>
              <w:t>of hydrogen’s high-value end use sectors</w:t>
            </w:r>
            <w:r w:rsidR="00A173E3" w:rsidRPr="181DB00D">
              <w:rPr>
                <w:rFonts w:ascii="Times New Roman" w:hAnsi="Times New Roman" w:cs="Times New Roman"/>
              </w:rPr>
              <w:t xml:space="preserve">, </w:t>
            </w:r>
            <w:r w:rsidR="0097187E" w:rsidRPr="181DB00D">
              <w:rPr>
                <w:rFonts w:ascii="Times New Roman" w:hAnsi="Times New Roman" w:cs="Times New Roman"/>
              </w:rPr>
              <w:t xml:space="preserve">backed by mechanisms </w:t>
            </w:r>
            <w:r w:rsidR="00472D5D" w:rsidRPr="181DB00D">
              <w:rPr>
                <w:rFonts w:ascii="Times New Roman" w:hAnsi="Times New Roman" w:cs="Times New Roman"/>
              </w:rPr>
              <w:t xml:space="preserve">to </w:t>
            </w:r>
            <w:r w:rsidR="005F0B5C" w:rsidRPr="181DB00D">
              <w:rPr>
                <w:rFonts w:ascii="Times New Roman" w:hAnsi="Times New Roman" w:cs="Times New Roman"/>
              </w:rPr>
              <w:t xml:space="preserve">broaden </w:t>
            </w:r>
            <w:r w:rsidR="00472D5D" w:rsidRPr="181DB00D">
              <w:rPr>
                <w:rFonts w:ascii="Times New Roman" w:hAnsi="Times New Roman" w:cs="Times New Roman"/>
              </w:rPr>
              <w:t>and more rapid</w:t>
            </w:r>
            <w:r w:rsidR="0097187E" w:rsidRPr="181DB00D">
              <w:rPr>
                <w:rFonts w:ascii="Times New Roman" w:hAnsi="Times New Roman" w:cs="Times New Roman"/>
              </w:rPr>
              <w:t>ly</w:t>
            </w:r>
            <w:r w:rsidR="00472D5D" w:rsidRPr="181DB00D">
              <w:rPr>
                <w:rFonts w:ascii="Times New Roman" w:hAnsi="Times New Roman" w:cs="Times New Roman"/>
              </w:rPr>
              <w:t xml:space="preserve"> shar</w:t>
            </w:r>
            <w:r w:rsidR="00C2523F" w:rsidRPr="181DB00D">
              <w:rPr>
                <w:rFonts w:ascii="Times New Roman" w:hAnsi="Times New Roman" w:cs="Times New Roman"/>
              </w:rPr>
              <w:t>e</w:t>
            </w:r>
            <w:r w:rsidR="00472D5D" w:rsidRPr="181DB00D">
              <w:rPr>
                <w:rFonts w:ascii="Times New Roman" w:hAnsi="Times New Roman" w:cs="Times New Roman"/>
              </w:rPr>
              <w:t xml:space="preserve"> </w:t>
            </w:r>
            <w:r w:rsidR="0097187E" w:rsidRPr="181DB00D">
              <w:rPr>
                <w:rFonts w:ascii="Times New Roman" w:hAnsi="Times New Roman" w:cs="Times New Roman"/>
              </w:rPr>
              <w:t>learnings</w:t>
            </w:r>
            <w:r w:rsidR="006C53B1" w:rsidRPr="181DB00D">
              <w:rPr>
                <w:rFonts w:ascii="Times New Roman" w:hAnsi="Times New Roman" w:cs="Times New Roman"/>
              </w:rPr>
              <w:t xml:space="preserve"> from projects</w:t>
            </w:r>
            <w:r w:rsidR="00F54DFC" w:rsidRPr="181DB00D">
              <w:rPr>
                <w:rFonts w:ascii="Times New Roman" w:hAnsi="Times New Roman" w:cs="Times New Roman"/>
              </w:rPr>
              <w:t xml:space="preserve">. </w:t>
            </w:r>
            <w:r w:rsidR="00B82A9B" w:rsidRPr="181DB00D">
              <w:rPr>
                <w:rFonts w:ascii="Times New Roman" w:hAnsi="Times New Roman" w:cs="Times New Roman"/>
              </w:rPr>
              <w:t xml:space="preserve">Progress to be </w:t>
            </w:r>
            <w:r w:rsidR="00883CBF" w:rsidRPr="181DB00D">
              <w:rPr>
                <w:rFonts w:ascii="Times New Roman" w:hAnsi="Times New Roman" w:cs="Times New Roman"/>
              </w:rPr>
              <w:t>reported on by</w:t>
            </w:r>
            <w:r w:rsidR="00B82A9B" w:rsidRPr="181DB00D">
              <w:rPr>
                <w:rFonts w:ascii="Times New Roman" w:hAnsi="Times New Roman" w:cs="Times New Roman"/>
              </w:rPr>
              <w:t xml:space="preserve"> COP28</w:t>
            </w:r>
            <w:r w:rsidR="450A7EA1" w:rsidRPr="181DB00D">
              <w:rPr>
                <w:rFonts w:ascii="Times New Roman" w:hAnsi="Times New Roman" w:cs="Times New Roman"/>
              </w:rPr>
              <w:t>.</w:t>
            </w:r>
          </w:p>
        </w:tc>
        <w:tc>
          <w:tcPr>
            <w:tcW w:w="5206" w:type="dxa"/>
          </w:tcPr>
          <w:p w14:paraId="1D80B91C" w14:textId="28725750" w:rsidR="009E62E6" w:rsidRPr="00765EC6" w:rsidRDefault="002B4194" w:rsidP="00466F58">
            <w:pPr>
              <w:spacing w:before="80" w:after="80" w:line="252" w:lineRule="auto"/>
              <w:rPr>
                <w:rFonts w:ascii="Times New Roman" w:eastAsia="Calibri" w:hAnsi="Times New Roman" w:cs="Times New Roman"/>
                <w:color w:val="212529"/>
              </w:rPr>
            </w:pPr>
            <w:r w:rsidRPr="00765EC6">
              <w:rPr>
                <w:rFonts w:ascii="Times New Roman" w:eastAsia="Calibri" w:hAnsi="Times New Roman" w:cs="Times New Roman"/>
                <w:color w:val="212529"/>
              </w:rPr>
              <w:t>By</w:t>
            </w:r>
            <w:r w:rsidR="0084428E" w:rsidRPr="00765EC6">
              <w:rPr>
                <w:rFonts w:ascii="Times New Roman" w:eastAsia="Calibri" w:hAnsi="Times New Roman" w:cs="Times New Roman"/>
                <w:color w:val="212529"/>
              </w:rPr>
              <w:t xml:space="preserve"> </w:t>
            </w:r>
            <w:r w:rsidR="00DF692D" w:rsidRPr="00765EC6">
              <w:rPr>
                <w:rFonts w:ascii="Times New Roman" w:eastAsia="Calibri" w:hAnsi="Times New Roman" w:cs="Times New Roman"/>
                <w:color w:val="212529"/>
              </w:rPr>
              <w:t xml:space="preserve">joining and/or </w:t>
            </w:r>
            <w:r w:rsidR="004B4E00" w:rsidRPr="00765EC6">
              <w:rPr>
                <w:rFonts w:ascii="Times New Roman" w:eastAsia="Calibri" w:hAnsi="Times New Roman" w:cs="Times New Roman"/>
                <w:color w:val="212529"/>
              </w:rPr>
              <w:t>increas</w:t>
            </w:r>
            <w:r w:rsidR="006B20D8" w:rsidRPr="00765EC6">
              <w:rPr>
                <w:rFonts w:ascii="Times New Roman" w:eastAsia="Calibri" w:hAnsi="Times New Roman" w:cs="Times New Roman"/>
                <w:color w:val="212529"/>
              </w:rPr>
              <w:t>ing</w:t>
            </w:r>
            <w:r w:rsidR="004B4E00" w:rsidRPr="00765EC6">
              <w:rPr>
                <w:rFonts w:ascii="Times New Roman" w:eastAsia="Calibri" w:hAnsi="Times New Roman" w:cs="Times New Roman"/>
                <w:color w:val="212529"/>
              </w:rPr>
              <w:t xml:space="preserve"> support for and engagement </w:t>
            </w:r>
            <w:r w:rsidR="0044568D" w:rsidRPr="00765EC6">
              <w:rPr>
                <w:rFonts w:ascii="Times New Roman" w:eastAsia="Calibri" w:hAnsi="Times New Roman" w:cs="Times New Roman"/>
                <w:color w:val="212529"/>
              </w:rPr>
              <w:t>with</w:t>
            </w:r>
            <w:r w:rsidR="00570DA2" w:rsidRPr="00765EC6">
              <w:rPr>
                <w:rFonts w:ascii="Times New Roman" w:eastAsia="Calibri" w:hAnsi="Times New Roman" w:cs="Times New Roman"/>
                <w:color w:val="212529"/>
              </w:rPr>
              <w:t xml:space="preserve"> </w:t>
            </w:r>
            <w:r w:rsidR="004B4E00" w:rsidRPr="00765EC6">
              <w:rPr>
                <w:rFonts w:ascii="Times New Roman" w:eastAsia="Calibri" w:hAnsi="Times New Roman" w:cs="Times New Roman"/>
                <w:color w:val="212529"/>
              </w:rPr>
              <w:t>the Mission Innovation Clean Hydrogen Mission</w:t>
            </w:r>
            <w:r w:rsidR="00986D6C" w:rsidRPr="00765EC6">
              <w:rPr>
                <w:rFonts w:ascii="Times New Roman" w:eastAsia="Calibri" w:hAnsi="Times New Roman" w:cs="Times New Roman"/>
                <w:color w:val="212529"/>
              </w:rPr>
              <w:t>’s goal</w:t>
            </w:r>
            <w:r w:rsidR="004000AA" w:rsidRPr="00765EC6">
              <w:rPr>
                <w:rFonts w:ascii="Times New Roman" w:eastAsia="Calibri" w:hAnsi="Times New Roman" w:cs="Times New Roman"/>
                <w:color w:val="212529"/>
              </w:rPr>
              <w:t>s, including</w:t>
            </w:r>
            <w:r w:rsidR="007920A9" w:rsidRPr="00765EC6">
              <w:rPr>
                <w:rFonts w:ascii="Times New Roman" w:eastAsia="Calibri" w:hAnsi="Times New Roman" w:cs="Times New Roman"/>
                <w:color w:val="212529"/>
              </w:rPr>
              <w:t xml:space="preserve"> </w:t>
            </w:r>
            <w:r w:rsidR="006A7104" w:rsidRPr="00765EC6">
              <w:rPr>
                <w:rFonts w:ascii="Times New Roman" w:eastAsia="Calibri" w:hAnsi="Times New Roman" w:cs="Times New Roman"/>
                <w:color w:val="212529"/>
              </w:rPr>
              <w:t xml:space="preserve">to deliver </w:t>
            </w:r>
            <w:r w:rsidR="008455F6" w:rsidRPr="00765EC6">
              <w:rPr>
                <w:rFonts w:ascii="Times New Roman" w:eastAsia="Calibri" w:hAnsi="Times New Roman" w:cs="Times New Roman"/>
                <w:color w:val="212529"/>
              </w:rPr>
              <w:t>a wide</w:t>
            </w:r>
            <w:r w:rsidR="00DE4756" w:rsidRPr="00765EC6">
              <w:rPr>
                <w:rFonts w:ascii="Times New Roman" w:eastAsia="Calibri" w:hAnsi="Times New Roman" w:cs="Times New Roman"/>
                <w:color w:val="212529"/>
              </w:rPr>
              <w:t>r</w:t>
            </w:r>
            <w:r w:rsidR="008455F6" w:rsidRPr="00765EC6">
              <w:rPr>
                <w:rFonts w:ascii="Times New Roman" w:eastAsia="Calibri" w:hAnsi="Times New Roman" w:cs="Times New Roman"/>
                <w:color w:val="212529"/>
              </w:rPr>
              <w:t xml:space="preserve"> portfolio of </w:t>
            </w:r>
            <w:r w:rsidR="007920A9" w:rsidRPr="00765EC6">
              <w:rPr>
                <w:rFonts w:ascii="Times New Roman" w:eastAsia="Calibri" w:hAnsi="Times New Roman" w:cs="Times New Roman"/>
                <w:color w:val="212529"/>
              </w:rPr>
              <w:t>Hydrogen Valleys</w:t>
            </w:r>
            <w:r w:rsidR="002C119F" w:rsidRPr="00765EC6">
              <w:rPr>
                <w:rFonts w:ascii="Times New Roman" w:eastAsia="Calibri" w:hAnsi="Times New Roman" w:cs="Times New Roman"/>
                <w:color w:val="212529"/>
              </w:rPr>
              <w:t xml:space="preserve">, </w:t>
            </w:r>
            <w:r w:rsidR="00E967F0" w:rsidRPr="00765EC6">
              <w:rPr>
                <w:rFonts w:ascii="Times New Roman" w:eastAsia="Calibri" w:hAnsi="Times New Roman" w:cs="Times New Roman"/>
                <w:color w:val="212529"/>
              </w:rPr>
              <w:t xml:space="preserve">and </w:t>
            </w:r>
            <w:r w:rsidR="006A7104" w:rsidRPr="00765EC6">
              <w:rPr>
                <w:rFonts w:ascii="Times New Roman" w:eastAsia="Calibri" w:hAnsi="Times New Roman" w:cs="Times New Roman"/>
                <w:color w:val="212529"/>
              </w:rPr>
              <w:t xml:space="preserve">working </w:t>
            </w:r>
            <w:r w:rsidR="002C119F" w:rsidRPr="00765EC6">
              <w:rPr>
                <w:rFonts w:ascii="Times New Roman" w:eastAsia="Calibri" w:hAnsi="Times New Roman" w:cs="Times New Roman"/>
                <w:color w:val="212529"/>
              </w:rPr>
              <w:t>i</w:t>
            </w:r>
            <w:r w:rsidR="005F73DE" w:rsidRPr="00765EC6">
              <w:rPr>
                <w:rFonts w:ascii="Times New Roman" w:eastAsia="Calibri" w:hAnsi="Times New Roman" w:cs="Times New Roman"/>
                <w:color w:val="212529"/>
              </w:rPr>
              <w:t>n c</w:t>
            </w:r>
            <w:r w:rsidR="009E62E6" w:rsidRPr="00765EC6">
              <w:rPr>
                <w:rFonts w:ascii="Times New Roman" w:eastAsia="Calibri" w:hAnsi="Times New Roman" w:cs="Times New Roman"/>
                <w:color w:val="212529"/>
              </w:rPr>
              <w:t>oordinat</w:t>
            </w:r>
            <w:r w:rsidR="005F73DE" w:rsidRPr="00765EC6">
              <w:rPr>
                <w:rFonts w:ascii="Times New Roman" w:eastAsia="Calibri" w:hAnsi="Times New Roman" w:cs="Times New Roman"/>
                <w:color w:val="212529"/>
              </w:rPr>
              <w:t>ion</w:t>
            </w:r>
            <w:r w:rsidR="009E62E6" w:rsidRPr="00765EC6">
              <w:rPr>
                <w:rFonts w:ascii="Times New Roman" w:eastAsia="Calibri" w:hAnsi="Times New Roman" w:cs="Times New Roman"/>
                <w:color w:val="212529"/>
              </w:rPr>
              <w:t xml:space="preserve"> with other initiatives active in supporting </w:t>
            </w:r>
            <w:r w:rsidR="007920A9" w:rsidRPr="00765EC6">
              <w:rPr>
                <w:rFonts w:ascii="Times New Roman" w:eastAsia="Calibri" w:hAnsi="Times New Roman" w:cs="Times New Roman"/>
                <w:color w:val="212529"/>
              </w:rPr>
              <w:t xml:space="preserve">new </w:t>
            </w:r>
            <w:r w:rsidR="005F73DE" w:rsidRPr="00765EC6">
              <w:rPr>
                <w:rFonts w:ascii="Times New Roman" w:eastAsia="Calibri" w:hAnsi="Times New Roman" w:cs="Times New Roman"/>
                <w:color w:val="212529"/>
              </w:rPr>
              <w:t>hydrogen projects</w:t>
            </w:r>
            <w:r w:rsidR="006358FD" w:rsidRPr="00765EC6">
              <w:rPr>
                <w:rFonts w:ascii="Times New Roman" w:eastAsia="Calibri" w:hAnsi="Times New Roman" w:cs="Times New Roman"/>
                <w:color w:val="212529"/>
              </w:rPr>
              <w:t xml:space="preserve"> and innovation</w:t>
            </w:r>
            <w:r w:rsidR="004D36D3" w:rsidRPr="00765EC6">
              <w:rPr>
                <w:rFonts w:ascii="Times New Roman" w:eastAsia="Calibri" w:hAnsi="Times New Roman" w:cs="Times New Roman"/>
                <w:color w:val="212529"/>
              </w:rPr>
              <w:t>,</w:t>
            </w:r>
            <w:r w:rsidR="006358FD" w:rsidRPr="00765EC6">
              <w:rPr>
                <w:rFonts w:ascii="Times New Roman" w:eastAsia="Calibri" w:hAnsi="Times New Roman" w:cs="Times New Roman"/>
                <w:color w:val="212529"/>
              </w:rPr>
              <w:t xml:space="preserve"> including the </w:t>
            </w:r>
            <w:r w:rsidR="006358FD" w:rsidRPr="00765EC6">
              <w:rPr>
                <w:rFonts w:ascii="Times New Roman" w:hAnsi="Times New Roman" w:cs="Times New Roman"/>
              </w:rPr>
              <w:t>IEA’s Hydrogen and Fuel Cells TCPs.</w:t>
            </w:r>
          </w:p>
        </w:tc>
        <w:tc>
          <w:tcPr>
            <w:tcW w:w="2126" w:type="dxa"/>
          </w:tcPr>
          <w:p w14:paraId="42F8ED2D" w14:textId="06542C9A" w:rsidR="0072398B" w:rsidRPr="00765EC6" w:rsidRDefault="00CD42AA" w:rsidP="00B33D0D">
            <w:pPr>
              <w:spacing w:before="100" w:after="100" w:line="252" w:lineRule="auto"/>
              <w:rPr>
                <w:rFonts w:ascii="Times New Roman" w:hAnsi="Times New Roman" w:cs="Times New Roman"/>
              </w:rPr>
            </w:pPr>
            <w:r w:rsidRPr="00765EC6">
              <w:rPr>
                <w:rFonts w:ascii="Times New Roman" w:hAnsi="Times New Roman" w:cs="Times New Roman"/>
              </w:rPr>
              <w:t>Mission Innovation Clean Hydrogen Mission</w:t>
            </w:r>
          </w:p>
          <w:p w14:paraId="2048C11B" w14:textId="45329551" w:rsidR="00C018BB" w:rsidRPr="00765EC6" w:rsidRDefault="00C018BB" w:rsidP="00B33D0D">
            <w:pPr>
              <w:spacing w:before="100" w:after="100" w:line="252" w:lineRule="auto"/>
              <w:rPr>
                <w:rFonts w:ascii="Times New Roman" w:hAnsi="Times New Roman" w:cs="Times New Roman"/>
              </w:rPr>
            </w:pPr>
          </w:p>
          <w:p w14:paraId="52E1DA90" w14:textId="29F07CDA" w:rsidR="00C018BB" w:rsidRPr="00765EC6" w:rsidRDefault="00C018BB" w:rsidP="00B33D0D">
            <w:pPr>
              <w:spacing w:before="100" w:after="100" w:line="252" w:lineRule="auto"/>
              <w:rPr>
                <w:rFonts w:ascii="Times New Roman" w:hAnsi="Times New Roman" w:cs="Times New Roman"/>
              </w:rPr>
            </w:pPr>
          </w:p>
        </w:tc>
        <w:tc>
          <w:tcPr>
            <w:tcW w:w="2333" w:type="dxa"/>
          </w:tcPr>
          <w:p w14:paraId="4F208501" w14:textId="77777777" w:rsidR="3207E291" w:rsidRDefault="00035977" w:rsidP="00035977">
            <w:pPr>
              <w:rPr>
                <w:rFonts w:ascii="Times New Roman" w:hAnsi="Times New Roman" w:cs="Times New Roman"/>
              </w:rPr>
            </w:pPr>
            <w:r>
              <w:rPr>
                <w:rFonts w:ascii="Times New Roman" w:hAnsi="Times New Roman" w:cs="Times New Roman"/>
              </w:rPr>
              <w:t>Australia</w:t>
            </w:r>
          </w:p>
          <w:p w14:paraId="6DD3DBC5" w14:textId="77777777" w:rsidR="007A04B6" w:rsidRDefault="007A04B6" w:rsidP="007A04B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79A0B625" w14:textId="77777777" w:rsidR="00035977" w:rsidRDefault="00035977" w:rsidP="00035977">
            <w:pPr>
              <w:rPr>
                <w:rFonts w:ascii="Times New Roman" w:hAnsi="Times New Roman" w:cs="Times New Roman"/>
              </w:rPr>
            </w:pPr>
            <w:r>
              <w:rPr>
                <w:rFonts w:ascii="Times New Roman" w:hAnsi="Times New Roman" w:cs="Times New Roman"/>
              </w:rPr>
              <w:t>Canada</w:t>
            </w:r>
          </w:p>
          <w:p w14:paraId="17A82B3B" w14:textId="77777777" w:rsidR="00035977" w:rsidRDefault="00035977" w:rsidP="00035977">
            <w:pPr>
              <w:rPr>
                <w:rFonts w:ascii="Times New Roman" w:hAnsi="Times New Roman" w:cs="Times New Roman"/>
              </w:rPr>
            </w:pPr>
            <w:r>
              <w:rPr>
                <w:rFonts w:ascii="Times New Roman" w:hAnsi="Times New Roman" w:cs="Times New Roman"/>
              </w:rPr>
              <w:t>European Commission</w:t>
            </w:r>
          </w:p>
          <w:p w14:paraId="459E5B9B" w14:textId="77777777" w:rsidR="00035977" w:rsidRDefault="00035977" w:rsidP="00035977">
            <w:pPr>
              <w:rPr>
                <w:rFonts w:ascii="Times New Roman" w:hAnsi="Times New Roman" w:cs="Times New Roman"/>
              </w:rPr>
            </w:pPr>
            <w:r>
              <w:rPr>
                <w:rFonts w:ascii="Times New Roman" w:hAnsi="Times New Roman" w:cs="Times New Roman"/>
              </w:rPr>
              <w:t>Finland</w:t>
            </w:r>
          </w:p>
          <w:p w14:paraId="7729ED60" w14:textId="77777777" w:rsidR="00035977" w:rsidRDefault="00035977" w:rsidP="00035977">
            <w:pPr>
              <w:rPr>
                <w:rFonts w:ascii="Times New Roman" w:hAnsi="Times New Roman" w:cs="Times New Roman"/>
              </w:rPr>
            </w:pPr>
            <w:r>
              <w:rPr>
                <w:rFonts w:ascii="Times New Roman" w:hAnsi="Times New Roman" w:cs="Times New Roman"/>
              </w:rPr>
              <w:t>Germany</w:t>
            </w:r>
          </w:p>
          <w:p w14:paraId="55D6F74B" w14:textId="5F1414DC" w:rsidR="00281374" w:rsidRPr="00281374" w:rsidRDefault="00281374" w:rsidP="00035977">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5B9ADDAA" w14:textId="77777777" w:rsidR="00035977" w:rsidRDefault="00035977" w:rsidP="00035977">
            <w:pPr>
              <w:rPr>
                <w:rFonts w:ascii="Times New Roman" w:hAnsi="Times New Roman" w:cs="Times New Roman"/>
              </w:rPr>
            </w:pPr>
            <w:r>
              <w:rPr>
                <w:rFonts w:ascii="Times New Roman" w:hAnsi="Times New Roman" w:cs="Times New Roman"/>
              </w:rPr>
              <w:t>Ireland</w:t>
            </w:r>
          </w:p>
          <w:p w14:paraId="14D6FB56" w14:textId="77777777" w:rsidR="00035977" w:rsidRDefault="00035977" w:rsidP="00035977">
            <w:pPr>
              <w:rPr>
                <w:rFonts w:ascii="Times New Roman" w:hAnsi="Times New Roman" w:cs="Times New Roman"/>
              </w:rPr>
            </w:pPr>
            <w:r>
              <w:rPr>
                <w:rFonts w:ascii="Times New Roman" w:hAnsi="Times New Roman" w:cs="Times New Roman"/>
              </w:rPr>
              <w:t>Italy</w:t>
            </w:r>
          </w:p>
          <w:p w14:paraId="2BA60ED2" w14:textId="77777777" w:rsidR="00035977" w:rsidRDefault="00035977" w:rsidP="00035977">
            <w:pPr>
              <w:rPr>
                <w:rFonts w:ascii="Times New Roman" w:hAnsi="Times New Roman" w:cs="Times New Roman"/>
              </w:rPr>
            </w:pPr>
            <w:r>
              <w:rPr>
                <w:rFonts w:ascii="Times New Roman" w:hAnsi="Times New Roman" w:cs="Times New Roman"/>
              </w:rPr>
              <w:t>Japan</w:t>
            </w:r>
          </w:p>
          <w:p w14:paraId="4B7CA60B" w14:textId="77777777" w:rsidR="00035977" w:rsidRDefault="00035977" w:rsidP="00035977">
            <w:pPr>
              <w:rPr>
                <w:rFonts w:ascii="Times New Roman" w:hAnsi="Times New Roman" w:cs="Times New Roman"/>
              </w:rPr>
            </w:pPr>
            <w:r>
              <w:rPr>
                <w:rFonts w:ascii="Times New Roman" w:hAnsi="Times New Roman" w:cs="Times New Roman"/>
              </w:rPr>
              <w:t>Kenya</w:t>
            </w:r>
          </w:p>
          <w:p w14:paraId="31EE9486" w14:textId="332A6DD5" w:rsidR="007E70EF" w:rsidRDefault="007E70EF" w:rsidP="00035977">
            <w:pPr>
              <w:rPr>
                <w:rFonts w:ascii="Times New Roman" w:hAnsi="Times New Roman" w:cs="Times New Roman"/>
              </w:rPr>
            </w:pPr>
            <w:r>
              <w:rPr>
                <w:rFonts w:ascii="Times New Roman" w:hAnsi="Times New Roman" w:cs="Times New Roman"/>
              </w:rPr>
              <w:t>Netherlands</w:t>
            </w:r>
          </w:p>
          <w:p w14:paraId="67E8746A" w14:textId="77777777" w:rsidR="00035977" w:rsidRDefault="00035977" w:rsidP="00035977">
            <w:pPr>
              <w:rPr>
                <w:rFonts w:ascii="Times New Roman" w:hAnsi="Times New Roman" w:cs="Times New Roman"/>
              </w:rPr>
            </w:pPr>
            <w:r>
              <w:rPr>
                <w:rFonts w:ascii="Times New Roman" w:hAnsi="Times New Roman" w:cs="Times New Roman"/>
              </w:rPr>
              <w:t>Norway</w:t>
            </w:r>
          </w:p>
          <w:p w14:paraId="3C0C8DA8" w14:textId="77777777" w:rsidR="00035977" w:rsidRDefault="00035977" w:rsidP="00035977">
            <w:pPr>
              <w:rPr>
                <w:rFonts w:ascii="Times New Roman" w:hAnsi="Times New Roman" w:cs="Times New Roman"/>
              </w:rPr>
            </w:pPr>
            <w:r>
              <w:rPr>
                <w:rFonts w:ascii="Times New Roman" w:hAnsi="Times New Roman" w:cs="Times New Roman"/>
              </w:rPr>
              <w:t>Panama</w:t>
            </w:r>
          </w:p>
          <w:p w14:paraId="6F0162B1" w14:textId="77777777" w:rsidR="00091C93" w:rsidRDefault="00091C93" w:rsidP="00091C93">
            <w:pPr>
              <w:rPr>
                <w:rFonts w:ascii="Times New Roman" w:eastAsia="Calibri" w:hAnsi="Times New Roman" w:cs="Times New Roman"/>
                <w:color w:val="212529"/>
              </w:rPr>
            </w:pPr>
            <w:r>
              <w:rPr>
                <w:rFonts w:ascii="Times New Roman" w:eastAsia="Calibri" w:hAnsi="Times New Roman" w:cs="Times New Roman"/>
                <w:color w:val="212529"/>
              </w:rPr>
              <w:t>Spain</w:t>
            </w:r>
          </w:p>
          <w:p w14:paraId="54FD0E28" w14:textId="77777777" w:rsidR="00035977" w:rsidRDefault="00035977" w:rsidP="00035977">
            <w:pPr>
              <w:rPr>
                <w:rFonts w:ascii="Times New Roman" w:hAnsi="Times New Roman" w:cs="Times New Roman"/>
              </w:rPr>
            </w:pPr>
            <w:r>
              <w:rPr>
                <w:rFonts w:ascii="Times New Roman" w:hAnsi="Times New Roman" w:cs="Times New Roman"/>
              </w:rPr>
              <w:t>Sweden</w:t>
            </w:r>
          </w:p>
          <w:p w14:paraId="58C21B6B" w14:textId="77777777" w:rsidR="3207E291" w:rsidRDefault="00035977" w:rsidP="00035977">
            <w:pPr>
              <w:rPr>
                <w:rFonts w:ascii="Times New Roman" w:hAnsi="Times New Roman" w:cs="Times New Roman"/>
              </w:rPr>
            </w:pPr>
            <w:r>
              <w:rPr>
                <w:rFonts w:ascii="Times New Roman" w:hAnsi="Times New Roman" w:cs="Times New Roman"/>
              </w:rPr>
              <w:t>United Kingdom</w:t>
            </w:r>
          </w:p>
          <w:p w14:paraId="57B20E87" w14:textId="58265337" w:rsidR="0059748D" w:rsidRPr="00765EC6" w:rsidRDefault="0059748D" w:rsidP="00035977">
            <w:pPr>
              <w:rPr>
                <w:rFonts w:ascii="Times New Roman" w:hAnsi="Times New Roman" w:cs="Times New Roman"/>
              </w:rPr>
            </w:pPr>
            <w:r>
              <w:rPr>
                <w:rFonts w:ascii="Times New Roman" w:hAnsi="Times New Roman" w:cs="Times New Roman"/>
              </w:rPr>
              <w:t>United States</w:t>
            </w:r>
          </w:p>
        </w:tc>
      </w:tr>
      <w:tr w:rsidR="00F37B62" w:rsidRPr="00765EC6" w14:paraId="0235CD54" w14:textId="77777777" w:rsidTr="181DB00D">
        <w:trPr>
          <w:trHeight w:val="1665"/>
        </w:trPr>
        <w:tc>
          <w:tcPr>
            <w:tcW w:w="13531" w:type="dxa"/>
            <w:gridSpan w:val="4"/>
            <w:shd w:val="clear" w:color="auto" w:fill="E7E6E6" w:themeFill="background2"/>
            <w:vAlign w:val="center"/>
          </w:tcPr>
          <w:p w14:paraId="4436B7CB" w14:textId="4D37196F" w:rsidR="00F37B62" w:rsidRPr="00A103F4" w:rsidRDefault="00B24F9D" w:rsidP="00A103F4">
            <w:pPr>
              <w:autoSpaceDE w:val="0"/>
              <w:autoSpaceDN w:val="0"/>
              <w:adjustRightInd w:val="0"/>
              <w:rPr>
                <w:rFonts w:ascii="Times New Roman" w:hAnsi="Times New Roman" w:cs="Times New Roman"/>
                <w:i/>
                <w:iCs/>
              </w:rPr>
            </w:pPr>
            <w:r>
              <w:rPr>
                <w:rFonts w:ascii="Times New Roman" w:hAnsi="Times New Roman" w:cs="Times New Roman"/>
                <w:b/>
                <w:bCs/>
                <w:i/>
                <w:iCs/>
              </w:rPr>
              <w:t xml:space="preserve">Breakthrough Agenda Report </w:t>
            </w:r>
            <w:r w:rsidR="00A103F4" w:rsidRPr="00E73EFE">
              <w:rPr>
                <w:rFonts w:ascii="Times New Roman" w:hAnsi="Times New Roman" w:cs="Times New Roman"/>
                <w:b/>
                <w:i/>
              </w:rPr>
              <w:t>Recommendation:</w:t>
            </w:r>
            <w:r w:rsidR="00A103F4" w:rsidRPr="00A103F4">
              <w:rPr>
                <w:rFonts w:ascii="Times New Roman" w:hAnsi="Times New Roman" w:cs="Times New Roman"/>
                <w:i/>
                <w:iCs/>
              </w:rPr>
              <w:t xml:space="preserve"> Donor governments and multilateral development banks should make increased levels of concessional finance available for well-targeted, catalytic uses that can mobilise large-scale private investment in hydrogen production, distribution and end-use projects in developing countries. This should be supported by a process in which countries work with donors and lending institutions to identify viable projects that are being delayed by high costs of capital, and to assess obstacles to investment, and by technical assistance programs to assist governments with policy design. This will provide much-needed support for the first-wave of low carbon and renewable hydrogen projects, ensuring that a wider set of countries can deploy the technologies required.</w:t>
            </w:r>
          </w:p>
        </w:tc>
      </w:tr>
      <w:tr w:rsidR="008762CF" w:rsidRPr="00765EC6" w14:paraId="270BED19" w14:textId="77777777" w:rsidTr="00281374">
        <w:trPr>
          <w:trHeight w:val="1142"/>
        </w:trPr>
        <w:tc>
          <w:tcPr>
            <w:tcW w:w="3866" w:type="dxa"/>
          </w:tcPr>
          <w:p w14:paraId="75185671" w14:textId="6102189A" w:rsidR="008762CF" w:rsidRPr="00765EC6" w:rsidRDefault="008762CF" w:rsidP="00035977">
            <w:pPr>
              <w:spacing w:before="80" w:line="252" w:lineRule="auto"/>
              <w:rPr>
                <w:rFonts w:ascii="Times New Roman" w:hAnsi="Times New Roman" w:cs="Times New Roman"/>
              </w:rPr>
            </w:pPr>
            <w:r w:rsidRPr="00765EC6">
              <w:rPr>
                <w:rFonts w:ascii="Times New Roman" w:hAnsi="Times New Roman" w:cs="Times New Roman"/>
                <w:b/>
                <w:bCs/>
              </w:rPr>
              <w:t>H4. Finance &amp; Investment:</w:t>
            </w:r>
            <w:r w:rsidR="00585BAE">
              <w:rPr>
                <w:rFonts w:ascii="Times New Roman" w:hAnsi="Times New Roman" w:cs="Times New Roman"/>
                <w:b/>
                <w:bCs/>
              </w:rPr>
              <w:t xml:space="preserve"> </w:t>
            </w:r>
            <w:r w:rsidRPr="00765EC6">
              <w:rPr>
                <w:rFonts w:ascii="Times New Roman" w:hAnsi="Times New Roman" w:cs="Times New Roman"/>
              </w:rPr>
              <w:t>Enhance the overall public offer of international assistance for clean hydrogen projects, by coordinat</w:t>
            </w:r>
            <w:r w:rsidR="001778AD" w:rsidRPr="00765EC6">
              <w:rPr>
                <w:rFonts w:ascii="Times New Roman" w:hAnsi="Times New Roman" w:cs="Times New Roman"/>
              </w:rPr>
              <w:t>ing</w:t>
            </w:r>
            <w:r w:rsidRPr="00765EC6">
              <w:rPr>
                <w:rFonts w:ascii="Times New Roman" w:hAnsi="Times New Roman" w:cs="Times New Roman"/>
              </w:rPr>
              <w:t xml:space="preserve"> </w:t>
            </w:r>
            <w:r w:rsidR="006E5626" w:rsidRPr="00765EC6">
              <w:rPr>
                <w:rFonts w:ascii="Times New Roman" w:hAnsi="Times New Roman" w:cs="Times New Roman"/>
              </w:rPr>
              <w:t xml:space="preserve">and facilitating access to </w:t>
            </w:r>
            <w:r w:rsidRPr="00765EC6">
              <w:rPr>
                <w:rFonts w:ascii="Times New Roman" w:hAnsi="Times New Roman" w:cs="Times New Roman"/>
              </w:rPr>
              <w:lastRenderedPageBreak/>
              <w:t>increased concessional financ</w:t>
            </w:r>
            <w:r w:rsidR="007838C4" w:rsidRPr="00765EC6">
              <w:rPr>
                <w:rFonts w:ascii="Times New Roman" w:hAnsi="Times New Roman" w:cs="Times New Roman"/>
              </w:rPr>
              <w:t>e</w:t>
            </w:r>
            <w:r w:rsidRPr="00765EC6">
              <w:rPr>
                <w:rFonts w:ascii="Times New Roman" w:hAnsi="Times New Roman" w:cs="Times New Roman"/>
              </w:rPr>
              <w:t xml:space="preserve"> and related support mechanisms </w:t>
            </w:r>
            <w:r w:rsidR="00D43410" w:rsidRPr="00765EC6">
              <w:rPr>
                <w:rFonts w:ascii="Times New Roman" w:hAnsi="Times New Roman" w:cs="Times New Roman"/>
              </w:rPr>
              <w:t>that</w:t>
            </w:r>
            <w:r w:rsidRPr="00765EC6">
              <w:rPr>
                <w:rFonts w:ascii="Times New Roman" w:hAnsi="Times New Roman" w:cs="Times New Roman"/>
              </w:rPr>
              <w:t xml:space="preserve"> address obstacles to investment</w:t>
            </w:r>
            <w:r w:rsidR="006E5626" w:rsidRPr="00765EC6">
              <w:rPr>
                <w:rFonts w:ascii="Times New Roman" w:hAnsi="Times New Roman" w:cs="Times New Roman"/>
              </w:rPr>
              <w:t>,</w:t>
            </w:r>
            <w:r w:rsidRPr="00765EC6">
              <w:rPr>
                <w:rFonts w:ascii="Times New Roman" w:hAnsi="Times New Roman" w:cs="Times New Roman"/>
              </w:rPr>
              <w:t xml:space="preserve"> with the goal of mobilising private investment at scale in emerging and developing </w:t>
            </w:r>
            <w:r w:rsidR="00827B1A" w:rsidRPr="00765EC6">
              <w:rPr>
                <w:rFonts w:ascii="Times New Roman" w:hAnsi="Times New Roman" w:cs="Times New Roman"/>
              </w:rPr>
              <w:t>economies</w:t>
            </w:r>
            <w:r w:rsidRPr="00765EC6">
              <w:rPr>
                <w:rFonts w:ascii="Times New Roman" w:hAnsi="Times New Roman" w:cs="Times New Roman"/>
              </w:rPr>
              <w:t xml:space="preserve">. A broad coordinated portfolio of support </w:t>
            </w:r>
            <w:r w:rsidR="003F7FA1" w:rsidRPr="00765EC6">
              <w:rPr>
                <w:rFonts w:ascii="Times New Roman" w:hAnsi="Times New Roman" w:cs="Times New Roman"/>
              </w:rPr>
              <w:t xml:space="preserve">mechanisms </w:t>
            </w:r>
            <w:r w:rsidRPr="00765EC6">
              <w:rPr>
                <w:rFonts w:ascii="Times New Roman" w:hAnsi="Times New Roman" w:cs="Times New Roman"/>
              </w:rPr>
              <w:t>to be communicated by COP28.</w:t>
            </w:r>
          </w:p>
        </w:tc>
        <w:tc>
          <w:tcPr>
            <w:tcW w:w="5206" w:type="dxa"/>
          </w:tcPr>
          <w:p w14:paraId="6E36BC87" w14:textId="7136749F" w:rsidR="008762CF" w:rsidRPr="00765EC6" w:rsidRDefault="009922E9" w:rsidP="00466F58">
            <w:pPr>
              <w:spacing w:before="80" w:after="80" w:line="252" w:lineRule="auto"/>
              <w:rPr>
                <w:rFonts w:ascii="Times New Roman" w:eastAsiaTheme="minorEastAsia" w:hAnsi="Times New Roman" w:cs="Times New Roman"/>
              </w:rPr>
            </w:pPr>
            <w:r w:rsidRPr="00765EC6">
              <w:rPr>
                <w:rFonts w:ascii="Times New Roman" w:eastAsiaTheme="minorEastAsia" w:hAnsi="Times New Roman" w:cs="Times New Roman"/>
              </w:rPr>
              <w:lastRenderedPageBreak/>
              <w:t xml:space="preserve">By engaging in the work of relevant institutions, such as </w:t>
            </w:r>
            <w:r w:rsidR="00027F08" w:rsidRPr="00765EC6">
              <w:rPr>
                <w:rFonts w:ascii="Times New Roman" w:eastAsiaTheme="minorEastAsia" w:hAnsi="Times New Roman" w:cs="Times New Roman"/>
              </w:rPr>
              <w:t>UNIDO and</w:t>
            </w:r>
            <w:r w:rsidRPr="00765EC6">
              <w:rPr>
                <w:rFonts w:ascii="Times New Roman" w:eastAsiaTheme="minorEastAsia" w:hAnsi="Times New Roman" w:cs="Times New Roman"/>
              </w:rPr>
              <w:t xml:space="preserve"> the World Bank, to build</w:t>
            </w:r>
            <w:r w:rsidR="008762CF" w:rsidRPr="00765EC6">
              <w:rPr>
                <w:rFonts w:ascii="Times New Roman" w:eastAsiaTheme="minorEastAsia" w:hAnsi="Times New Roman" w:cs="Times New Roman"/>
              </w:rPr>
              <w:t xml:space="preserve"> a partnership of key initiatives and institutions, </w:t>
            </w:r>
            <w:r w:rsidR="00027F08" w:rsidRPr="00765EC6">
              <w:rPr>
                <w:rFonts w:ascii="Times New Roman" w:eastAsiaTheme="minorEastAsia" w:hAnsi="Times New Roman" w:cs="Times New Roman"/>
              </w:rPr>
              <w:t xml:space="preserve">that can </w:t>
            </w:r>
            <w:r w:rsidR="008762CF" w:rsidRPr="00765EC6">
              <w:rPr>
                <w:rFonts w:ascii="Times New Roman" w:eastAsiaTheme="minorEastAsia" w:hAnsi="Times New Roman" w:cs="Times New Roman"/>
              </w:rPr>
              <w:t xml:space="preserve">review the current international assistance offer for </w:t>
            </w:r>
            <w:r w:rsidR="008762CF" w:rsidRPr="00765EC6">
              <w:rPr>
                <w:rFonts w:ascii="Times New Roman" w:hAnsi="Times New Roman" w:cs="Times New Roman"/>
              </w:rPr>
              <w:t>clean</w:t>
            </w:r>
            <w:r w:rsidR="008762CF" w:rsidRPr="00765EC6">
              <w:rPr>
                <w:rFonts w:ascii="Times New Roman" w:eastAsiaTheme="minorEastAsia" w:hAnsi="Times New Roman" w:cs="Times New Roman"/>
              </w:rPr>
              <w:t xml:space="preserve"> hydrogen </w:t>
            </w:r>
            <w:r w:rsidR="008762CF" w:rsidRPr="00765EC6">
              <w:rPr>
                <w:rFonts w:ascii="Times New Roman" w:eastAsiaTheme="minorEastAsia" w:hAnsi="Times New Roman" w:cs="Times New Roman"/>
              </w:rPr>
              <w:lastRenderedPageBreak/>
              <w:t>projects</w:t>
            </w:r>
            <w:r w:rsidR="00A06F89" w:rsidRPr="00765EC6">
              <w:rPr>
                <w:rFonts w:ascii="Times New Roman" w:eastAsiaTheme="minorEastAsia" w:hAnsi="Times New Roman" w:cs="Times New Roman"/>
              </w:rPr>
              <w:t xml:space="preserve"> and</w:t>
            </w:r>
            <w:r w:rsidR="00B46E6F" w:rsidRPr="00765EC6">
              <w:rPr>
                <w:rFonts w:ascii="Times New Roman" w:eastAsiaTheme="minorEastAsia" w:hAnsi="Times New Roman" w:cs="Times New Roman"/>
              </w:rPr>
              <w:t>,</w:t>
            </w:r>
            <w:r w:rsidR="00A06F89" w:rsidRPr="00765EC6">
              <w:rPr>
                <w:rFonts w:ascii="Times New Roman" w:eastAsiaTheme="minorEastAsia" w:hAnsi="Times New Roman" w:cs="Times New Roman"/>
              </w:rPr>
              <w:t xml:space="preserve"> </w:t>
            </w:r>
            <w:r w:rsidR="00E71933" w:rsidRPr="00765EC6">
              <w:rPr>
                <w:rFonts w:ascii="Times New Roman" w:eastAsiaTheme="minorEastAsia" w:hAnsi="Times New Roman" w:cs="Times New Roman"/>
              </w:rPr>
              <w:t xml:space="preserve">working through existing initiatives </w:t>
            </w:r>
            <w:r w:rsidR="001450A2" w:rsidRPr="00765EC6">
              <w:rPr>
                <w:rFonts w:ascii="Times New Roman" w:eastAsiaTheme="minorEastAsia" w:hAnsi="Times New Roman" w:cs="Times New Roman"/>
              </w:rPr>
              <w:t>and forums</w:t>
            </w:r>
            <w:r w:rsidR="00B46E6F" w:rsidRPr="00765EC6">
              <w:rPr>
                <w:rFonts w:ascii="Times New Roman" w:eastAsiaTheme="minorEastAsia" w:hAnsi="Times New Roman" w:cs="Times New Roman"/>
              </w:rPr>
              <w:t>,</w:t>
            </w:r>
            <w:r w:rsidR="001450A2" w:rsidRPr="00765EC6">
              <w:rPr>
                <w:rFonts w:ascii="Times New Roman" w:eastAsiaTheme="minorEastAsia" w:hAnsi="Times New Roman" w:cs="Times New Roman"/>
              </w:rPr>
              <w:t xml:space="preserve"> </w:t>
            </w:r>
            <w:r w:rsidR="00A06F89" w:rsidRPr="00765EC6">
              <w:rPr>
                <w:rFonts w:ascii="Times New Roman" w:eastAsiaTheme="minorEastAsia" w:hAnsi="Times New Roman" w:cs="Times New Roman"/>
              </w:rPr>
              <w:t>establish</w:t>
            </w:r>
            <w:r w:rsidR="008762CF" w:rsidRPr="00765EC6">
              <w:rPr>
                <w:rFonts w:ascii="Times New Roman" w:eastAsiaTheme="minorEastAsia" w:hAnsi="Times New Roman" w:cs="Times New Roman"/>
              </w:rPr>
              <w:t xml:space="preserve"> appropriate mechanisms to coordinate, mobilise and </w:t>
            </w:r>
            <w:r w:rsidR="00BE242D" w:rsidRPr="00765EC6">
              <w:rPr>
                <w:rFonts w:ascii="Times New Roman" w:eastAsiaTheme="minorEastAsia" w:hAnsi="Times New Roman" w:cs="Times New Roman"/>
              </w:rPr>
              <w:t xml:space="preserve">facilitate </w:t>
            </w:r>
            <w:r w:rsidR="008762CF" w:rsidRPr="00765EC6">
              <w:rPr>
                <w:rFonts w:ascii="Times New Roman" w:eastAsiaTheme="minorEastAsia" w:hAnsi="Times New Roman" w:cs="Times New Roman"/>
              </w:rPr>
              <w:t>access</w:t>
            </w:r>
            <w:r w:rsidR="00953CC4" w:rsidRPr="00765EC6">
              <w:rPr>
                <w:rFonts w:ascii="Times New Roman" w:eastAsiaTheme="minorEastAsia" w:hAnsi="Times New Roman" w:cs="Times New Roman"/>
              </w:rPr>
              <w:t xml:space="preserve"> </w:t>
            </w:r>
            <w:r w:rsidR="00842315" w:rsidRPr="00765EC6">
              <w:rPr>
                <w:rFonts w:ascii="Times New Roman" w:eastAsiaTheme="minorEastAsia" w:hAnsi="Times New Roman" w:cs="Times New Roman"/>
              </w:rPr>
              <w:t>to</w:t>
            </w:r>
            <w:r w:rsidR="008762CF" w:rsidRPr="00765EC6">
              <w:rPr>
                <w:rFonts w:ascii="Times New Roman" w:eastAsiaTheme="minorEastAsia" w:hAnsi="Times New Roman" w:cs="Times New Roman"/>
              </w:rPr>
              <w:t xml:space="preserve"> </w:t>
            </w:r>
            <w:r w:rsidR="00884394" w:rsidRPr="00765EC6">
              <w:rPr>
                <w:rFonts w:ascii="Times New Roman" w:eastAsiaTheme="minorEastAsia" w:hAnsi="Times New Roman" w:cs="Times New Roman"/>
              </w:rPr>
              <w:t xml:space="preserve">concessional </w:t>
            </w:r>
            <w:r w:rsidR="008762CF" w:rsidRPr="00765EC6">
              <w:rPr>
                <w:rFonts w:ascii="Times New Roman" w:eastAsiaTheme="minorEastAsia" w:hAnsi="Times New Roman" w:cs="Times New Roman"/>
              </w:rPr>
              <w:t>finance</w:t>
            </w:r>
            <w:r w:rsidR="004035CF" w:rsidRPr="00765EC6">
              <w:rPr>
                <w:rFonts w:ascii="Times New Roman" w:hAnsi="Times New Roman" w:cs="Times New Roman"/>
              </w:rPr>
              <w:t xml:space="preserve"> and related support</w:t>
            </w:r>
            <w:r w:rsidR="00253F64" w:rsidRPr="00765EC6">
              <w:rPr>
                <w:rFonts w:ascii="Times New Roman" w:hAnsi="Times New Roman" w:cs="Times New Roman"/>
              </w:rPr>
              <w:t xml:space="preserve">. </w:t>
            </w:r>
          </w:p>
        </w:tc>
        <w:tc>
          <w:tcPr>
            <w:tcW w:w="2126" w:type="dxa"/>
          </w:tcPr>
          <w:p w14:paraId="46659CCA" w14:textId="1A35D444" w:rsidR="00884394" w:rsidRPr="00765EC6" w:rsidRDefault="003969F7" w:rsidP="00B33D0D">
            <w:pPr>
              <w:spacing w:before="100" w:after="100" w:line="252" w:lineRule="auto"/>
              <w:rPr>
                <w:rFonts w:ascii="Times New Roman" w:hAnsi="Times New Roman" w:cs="Times New Roman"/>
              </w:rPr>
            </w:pPr>
            <w:r w:rsidRPr="00765EC6">
              <w:rPr>
                <w:rFonts w:ascii="Times New Roman" w:hAnsi="Times New Roman" w:cs="Times New Roman"/>
              </w:rPr>
              <w:lastRenderedPageBreak/>
              <w:t>A</w:t>
            </w:r>
            <w:r w:rsidR="00AA0A84" w:rsidRPr="00765EC6">
              <w:rPr>
                <w:rFonts w:ascii="Times New Roman" w:hAnsi="Times New Roman" w:cs="Times New Roman"/>
              </w:rPr>
              <w:t xml:space="preserve"> partnership </w:t>
            </w:r>
            <w:r w:rsidRPr="00765EC6">
              <w:rPr>
                <w:rFonts w:ascii="Times New Roman" w:hAnsi="Times New Roman" w:cs="Times New Roman"/>
              </w:rPr>
              <w:t>of</w:t>
            </w:r>
            <w:r w:rsidR="00AA0A84" w:rsidRPr="00765EC6">
              <w:rPr>
                <w:rFonts w:ascii="Times New Roman" w:hAnsi="Times New Roman" w:cs="Times New Roman"/>
              </w:rPr>
              <w:t xml:space="preserve"> </w:t>
            </w:r>
            <w:r w:rsidR="00615C57" w:rsidRPr="00765EC6">
              <w:rPr>
                <w:rFonts w:ascii="Times New Roman" w:hAnsi="Times New Roman" w:cs="Times New Roman"/>
              </w:rPr>
              <w:t xml:space="preserve">donor countries and </w:t>
            </w:r>
            <w:r w:rsidR="00AA0A84" w:rsidRPr="00765EC6">
              <w:rPr>
                <w:rFonts w:ascii="Times New Roman" w:hAnsi="Times New Roman" w:cs="Times New Roman"/>
              </w:rPr>
              <w:t xml:space="preserve">active financing institutions including </w:t>
            </w:r>
            <w:r w:rsidR="00884394" w:rsidRPr="00765EC6">
              <w:rPr>
                <w:rFonts w:ascii="Times New Roman" w:hAnsi="Times New Roman" w:cs="Times New Roman"/>
              </w:rPr>
              <w:lastRenderedPageBreak/>
              <w:t xml:space="preserve">the World Bank &amp; </w:t>
            </w:r>
            <w:r w:rsidRPr="00765EC6">
              <w:rPr>
                <w:rFonts w:ascii="Times New Roman" w:hAnsi="Times New Roman" w:cs="Times New Roman"/>
              </w:rPr>
              <w:t>the United Nations Industrial Development Organization (UNIDO)</w:t>
            </w:r>
          </w:p>
          <w:p w14:paraId="41B935F2" w14:textId="6E13A1C5" w:rsidR="008762CF" w:rsidRPr="00765EC6" w:rsidRDefault="008762CF" w:rsidP="00B33D0D">
            <w:pPr>
              <w:spacing w:before="100" w:after="100" w:line="252" w:lineRule="auto"/>
              <w:rPr>
                <w:rFonts w:ascii="Times New Roman" w:hAnsi="Times New Roman" w:cs="Times New Roman"/>
              </w:rPr>
            </w:pPr>
          </w:p>
        </w:tc>
        <w:tc>
          <w:tcPr>
            <w:tcW w:w="2333" w:type="dxa"/>
          </w:tcPr>
          <w:p w14:paraId="54B15224" w14:textId="77777777" w:rsidR="3207E291" w:rsidRDefault="00035977" w:rsidP="00035977">
            <w:pPr>
              <w:rPr>
                <w:rFonts w:ascii="Times New Roman" w:hAnsi="Times New Roman" w:cs="Times New Roman"/>
              </w:rPr>
            </w:pPr>
            <w:r>
              <w:rPr>
                <w:rFonts w:ascii="Times New Roman" w:hAnsi="Times New Roman" w:cs="Times New Roman"/>
              </w:rPr>
              <w:lastRenderedPageBreak/>
              <w:t>Australia</w:t>
            </w:r>
          </w:p>
          <w:p w14:paraId="5FFAF5BB" w14:textId="77777777" w:rsidR="00035977" w:rsidRDefault="00035977" w:rsidP="00035977">
            <w:pPr>
              <w:rPr>
                <w:rFonts w:ascii="Times New Roman" w:hAnsi="Times New Roman" w:cs="Times New Roman"/>
              </w:rPr>
            </w:pPr>
            <w:r>
              <w:rPr>
                <w:rFonts w:ascii="Times New Roman" w:hAnsi="Times New Roman" w:cs="Times New Roman"/>
              </w:rPr>
              <w:t>Azerbaijan</w:t>
            </w:r>
          </w:p>
          <w:p w14:paraId="32A07D1D" w14:textId="77777777" w:rsidR="007A04B6" w:rsidRDefault="007A04B6" w:rsidP="007A04B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2A653350" w14:textId="77777777" w:rsidR="00035977" w:rsidRDefault="00035977" w:rsidP="00035977">
            <w:pPr>
              <w:rPr>
                <w:rFonts w:ascii="Times New Roman" w:hAnsi="Times New Roman" w:cs="Times New Roman"/>
              </w:rPr>
            </w:pPr>
            <w:r>
              <w:rPr>
                <w:rFonts w:ascii="Times New Roman" w:hAnsi="Times New Roman" w:cs="Times New Roman"/>
              </w:rPr>
              <w:t>Canada</w:t>
            </w:r>
          </w:p>
          <w:p w14:paraId="03772A3E" w14:textId="77777777" w:rsidR="00035977" w:rsidRDefault="00035977" w:rsidP="00035977">
            <w:pPr>
              <w:rPr>
                <w:rFonts w:ascii="Times New Roman" w:hAnsi="Times New Roman" w:cs="Times New Roman"/>
              </w:rPr>
            </w:pPr>
            <w:r>
              <w:rPr>
                <w:rFonts w:ascii="Times New Roman" w:hAnsi="Times New Roman" w:cs="Times New Roman"/>
              </w:rPr>
              <w:lastRenderedPageBreak/>
              <w:t>European Commission</w:t>
            </w:r>
          </w:p>
          <w:p w14:paraId="4C7F3881" w14:textId="77777777" w:rsidR="00035977" w:rsidRDefault="00035977" w:rsidP="00035977">
            <w:pPr>
              <w:rPr>
                <w:rFonts w:ascii="Times New Roman" w:hAnsi="Times New Roman" w:cs="Times New Roman"/>
              </w:rPr>
            </w:pPr>
            <w:r>
              <w:rPr>
                <w:rFonts w:ascii="Times New Roman" w:hAnsi="Times New Roman" w:cs="Times New Roman"/>
              </w:rPr>
              <w:t>Finland</w:t>
            </w:r>
          </w:p>
          <w:p w14:paraId="230907CB" w14:textId="77777777" w:rsidR="00035977" w:rsidRDefault="00035977" w:rsidP="00035977">
            <w:pPr>
              <w:rPr>
                <w:rFonts w:ascii="Times New Roman" w:hAnsi="Times New Roman" w:cs="Times New Roman"/>
              </w:rPr>
            </w:pPr>
            <w:r>
              <w:rPr>
                <w:rFonts w:ascii="Times New Roman" w:hAnsi="Times New Roman" w:cs="Times New Roman"/>
              </w:rPr>
              <w:t>Germany</w:t>
            </w:r>
          </w:p>
          <w:p w14:paraId="40D48E2E" w14:textId="21AEB3F3" w:rsidR="00281374" w:rsidRPr="00281374" w:rsidRDefault="00281374" w:rsidP="00035977">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41132B5E" w14:textId="77777777" w:rsidR="00035977" w:rsidRDefault="00035977" w:rsidP="00035977">
            <w:pPr>
              <w:rPr>
                <w:rFonts w:ascii="Times New Roman" w:hAnsi="Times New Roman" w:cs="Times New Roman"/>
              </w:rPr>
            </w:pPr>
            <w:r>
              <w:rPr>
                <w:rFonts w:ascii="Times New Roman" w:hAnsi="Times New Roman" w:cs="Times New Roman"/>
              </w:rPr>
              <w:t>Ireland</w:t>
            </w:r>
          </w:p>
          <w:p w14:paraId="7EC577C5" w14:textId="316CDF44" w:rsidR="00DE230E" w:rsidRDefault="00DE230E" w:rsidP="00035977">
            <w:pPr>
              <w:rPr>
                <w:rFonts w:ascii="Times New Roman" w:hAnsi="Times New Roman" w:cs="Times New Roman"/>
              </w:rPr>
            </w:pPr>
            <w:r>
              <w:rPr>
                <w:rFonts w:ascii="Times New Roman" w:hAnsi="Times New Roman" w:cs="Times New Roman"/>
              </w:rPr>
              <w:t>Netherlands</w:t>
            </w:r>
          </w:p>
          <w:p w14:paraId="735051C9" w14:textId="77777777" w:rsidR="00035977" w:rsidRDefault="00035977" w:rsidP="00035977">
            <w:pPr>
              <w:rPr>
                <w:rFonts w:ascii="Times New Roman" w:hAnsi="Times New Roman" w:cs="Times New Roman"/>
              </w:rPr>
            </w:pPr>
            <w:r>
              <w:rPr>
                <w:rFonts w:ascii="Times New Roman" w:hAnsi="Times New Roman" w:cs="Times New Roman"/>
              </w:rPr>
              <w:t>Panama</w:t>
            </w:r>
          </w:p>
          <w:p w14:paraId="1F50A328" w14:textId="77777777" w:rsidR="00091C93" w:rsidRDefault="00091C93" w:rsidP="00091C93">
            <w:pPr>
              <w:rPr>
                <w:rFonts w:ascii="Times New Roman" w:eastAsia="Calibri" w:hAnsi="Times New Roman" w:cs="Times New Roman"/>
                <w:color w:val="212529"/>
              </w:rPr>
            </w:pPr>
            <w:r>
              <w:rPr>
                <w:rFonts w:ascii="Times New Roman" w:eastAsia="Calibri" w:hAnsi="Times New Roman" w:cs="Times New Roman"/>
                <w:color w:val="212529"/>
              </w:rPr>
              <w:t>Spain</w:t>
            </w:r>
          </w:p>
          <w:p w14:paraId="7B069E6F" w14:textId="77777777" w:rsidR="00035977" w:rsidRDefault="00035977" w:rsidP="00035977">
            <w:pPr>
              <w:rPr>
                <w:rFonts w:ascii="Times New Roman" w:hAnsi="Times New Roman" w:cs="Times New Roman"/>
              </w:rPr>
            </w:pPr>
            <w:r>
              <w:rPr>
                <w:rFonts w:ascii="Times New Roman" w:hAnsi="Times New Roman" w:cs="Times New Roman"/>
              </w:rPr>
              <w:t>Sweden</w:t>
            </w:r>
          </w:p>
          <w:p w14:paraId="00F43798" w14:textId="77777777" w:rsidR="3207E291" w:rsidRDefault="00035977" w:rsidP="00035977">
            <w:pPr>
              <w:rPr>
                <w:rFonts w:ascii="Times New Roman" w:hAnsi="Times New Roman" w:cs="Times New Roman"/>
              </w:rPr>
            </w:pPr>
            <w:r>
              <w:rPr>
                <w:rFonts w:ascii="Times New Roman" w:hAnsi="Times New Roman" w:cs="Times New Roman"/>
              </w:rPr>
              <w:t>United Kingdom</w:t>
            </w:r>
          </w:p>
          <w:p w14:paraId="3AB1C79A" w14:textId="0E6D2FEC" w:rsidR="0059748D" w:rsidRPr="00765EC6" w:rsidRDefault="0059748D" w:rsidP="00035977">
            <w:pPr>
              <w:rPr>
                <w:rFonts w:ascii="Times New Roman" w:hAnsi="Times New Roman" w:cs="Times New Roman"/>
              </w:rPr>
            </w:pPr>
            <w:r>
              <w:rPr>
                <w:rFonts w:ascii="Times New Roman" w:hAnsi="Times New Roman" w:cs="Times New Roman"/>
              </w:rPr>
              <w:t>United States</w:t>
            </w:r>
          </w:p>
        </w:tc>
      </w:tr>
      <w:tr w:rsidR="00CB4B53" w:rsidRPr="00765EC6" w14:paraId="6214F29D" w14:textId="77777777" w:rsidTr="00281374">
        <w:trPr>
          <w:trHeight w:val="70"/>
        </w:trPr>
        <w:tc>
          <w:tcPr>
            <w:tcW w:w="3866" w:type="dxa"/>
          </w:tcPr>
          <w:p w14:paraId="6ED838D2" w14:textId="4DFCC16B" w:rsidR="006D2E40" w:rsidRPr="00765EC6" w:rsidRDefault="00CC0BD9" w:rsidP="00F76E86">
            <w:pPr>
              <w:rPr>
                <w:rFonts w:ascii="Times New Roman" w:hAnsi="Times New Roman" w:cs="Times New Roman"/>
              </w:rPr>
            </w:pPr>
            <w:r w:rsidRPr="00765EC6">
              <w:rPr>
                <w:rFonts w:ascii="Times New Roman" w:hAnsi="Times New Roman" w:cs="Times New Roman"/>
                <w:b/>
                <w:bCs/>
              </w:rPr>
              <w:lastRenderedPageBreak/>
              <w:t xml:space="preserve">H5. </w:t>
            </w:r>
            <w:r w:rsidR="00C71F3A" w:rsidRPr="00765EC6">
              <w:rPr>
                <w:rFonts w:ascii="Times New Roman" w:hAnsi="Times New Roman" w:cs="Times New Roman"/>
                <w:b/>
                <w:bCs/>
              </w:rPr>
              <w:t>Landscape Coordination</w:t>
            </w:r>
            <w:r w:rsidR="00585BAE">
              <w:rPr>
                <w:rFonts w:ascii="Times New Roman" w:hAnsi="Times New Roman" w:cs="Times New Roman"/>
                <w:b/>
                <w:bCs/>
              </w:rPr>
              <w:t xml:space="preserve">: </w:t>
            </w:r>
            <w:r w:rsidR="00E61298" w:rsidRPr="00765EC6">
              <w:rPr>
                <w:rFonts w:ascii="Times New Roman" w:hAnsi="Times New Roman" w:cs="Times New Roman"/>
              </w:rPr>
              <w:t>Enhance the coordination and transparency of international collaboration</w:t>
            </w:r>
            <w:r w:rsidR="00B17E93" w:rsidRPr="00765EC6">
              <w:rPr>
                <w:rFonts w:ascii="Times New Roman" w:hAnsi="Times New Roman" w:cs="Times New Roman"/>
              </w:rPr>
              <w:t xml:space="preserve"> on clean hydrogen</w:t>
            </w:r>
            <w:r w:rsidR="007B3F1B" w:rsidRPr="00765EC6">
              <w:rPr>
                <w:rFonts w:ascii="Times New Roman" w:hAnsi="Times New Roman" w:cs="Times New Roman"/>
              </w:rPr>
              <w:t>.</w:t>
            </w:r>
          </w:p>
        </w:tc>
        <w:tc>
          <w:tcPr>
            <w:tcW w:w="5206" w:type="dxa"/>
          </w:tcPr>
          <w:p w14:paraId="3DFDE498" w14:textId="7FC40D4D" w:rsidR="00455211" w:rsidRPr="00765EC6" w:rsidRDefault="00DF268E" w:rsidP="00CB4B53">
            <w:pPr>
              <w:rPr>
                <w:rFonts w:ascii="Times New Roman" w:eastAsia="Calibri" w:hAnsi="Times New Roman" w:cs="Times New Roman"/>
                <w:color w:val="212529"/>
              </w:rPr>
            </w:pPr>
            <w:r w:rsidRPr="00765EC6">
              <w:rPr>
                <w:rFonts w:ascii="Times New Roman" w:eastAsia="Calibri" w:hAnsi="Times New Roman" w:cs="Times New Roman"/>
                <w:color w:val="212529"/>
              </w:rPr>
              <w:t>By utilising the Breakthrough Agenda annual cycle to</w:t>
            </w:r>
            <w:r w:rsidR="00C51507" w:rsidRPr="00765EC6">
              <w:rPr>
                <w:rFonts w:ascii="Times New Roman" w:eastAsia="Calibri" w:hAnsi="Times New Roman" w:cs="Times New Roman"/>
                <w:color w:val="212529"/>
              </w:rPr>
              <w:t xml:space="preserve"> </w:t>
            </w:r>
            <w:r w:rsidR="007B281F" w:rsidRPr="00765EC6">
              <w:rPr>
                <w:rFonts w:ascii="Times New Roman" w:eastAsia="Calibri" w:hAnsi="Times New Roman" w:cs="Times New Roman"/>
                <w:color w:val="212529"/>
              </w:rPr>
              <w:t>embed</w:t>
            </w:r>
            <w:r w:rsidR="00C51507" w:rsidRPr="00765EC6">
              <w:rPr>
                <w:rFonts w:ascii="Times New Roman" w:eastAsia="Calibri" w:hAnsi="Times New Roman" w:cs="Times New Roman"/>
                <w:color w:val="212529"/>
              </w:rPr>
              <w:t xml:space="preserve"> </w:t>
            </w:r>
            <w:r w:rsidR="00AC7704" w:rsidRPr="00765EC6">
              <w:rPr>
                <w:rFonts w:ascii="Times New Roman" w:eastAsia="Calibri" w:hAnsi="Times New Roman" w:cs="Times New Roman"/>
                <w:color w:val="212529"/>
              </w:rPr>
              <w:t xml:space="preserve">in the international landscape </w:t>
            </w:r>
            <w:r w:rsidR="00C51507" w:rsidRPr="00765EC6">
              <w:rPr>
                <w:rFonts w:ascii="Times New Roman" w:eastAsia="Calibri" w:hAnsi="Times New Roman" w:cs="Times New Roman"/>
                <w:color w:val="212529"/>
              </w:rPr>
              <w:t xml:space="preserve">a </w:t>
            </w:r>
            <w:r w:rsidR="00FA6E85" w:rsidRPr="00765EC6">
              <w:rPr>
                <w:rFonts w:ascii="Times New Roman" w:eastAsia="Calibri" w:hAnsi="Times New Roman" w:cs="Times New Roman"/>
                <w:color w:val="212529"/>
              </w:rPr>
              <w:t>light</w:t>
            </w:r>
            <w:r w:rsidR="005C21A8" w:rsidRPr="00765EC6">
              <w:rPr>
                <w:rFonts w:ascii="Times New Roman" w:eastAsia="Calibri" w:hAnsi="Times New Roman" w:cs="Times New Roman"/>
                <w:color w:val="212529"/>
              </w:rPr>
              <w:t xml:space="preserve"> touch</w:t>
            </w:r>
            <w:r w:rsidR="00FA6E85" w:rsidRPr="00765EC6">
              <w:rPr>
                <w:rFonts w:ascii="Times New Roman" w:eastAsia="Calibri" w:hAnsi="Times New Roman" w:cs="Times New Roman"/>
                <w:color w:val="212529"/>
              </w:rPr>
              <w:t xml:space="preserve"> </w:t>
            </w:r>
            <w:r w:rsidR="00C51507" w:rsidRPr="00765EC6">
              <w:rPr>
                <w:rFonts w:ascii="Times New Roman" w:eastAsia="Calibri" w:hAnsi="Times New Roman" w:cs="Times New Roman"/>
                <w:color w:val="212529"/>
              </w:rPr>
              <w:t xml:space="preserve">process </w:t>
            </w:r>
            <w:r w:rsidR="00E559F6" w:rsidRPr="00765EC6">
              <w:rPr>
                <w:rFonts w:ascii="Times New Roman" w:eastAsia="Calibri" w:hAnsi="Times New Roman" w:cs="Times New Roman"/>
                <w:color w:val="212529"/>
              </w:rPr>
              <w:t>for</w:t>
            </w:r>
            <w:r w:rsidRPr="00765EC6">
              <w:rPr>
                <w:rFonts w:ascii="Times New Roman" w:eastAsia="Calibri" w:hAnsi="Times New Roman" w:cs="Times New Roman"/>
                <w:color w:val="212529"/>
              </w:rPr>
              <w:t xml:space="preserve"> </w:t>
            </w:r>
            <w:r w:rsidR="0018705B" w:rsidRPr="00765EC6">
              <w:rPr>
                <w:rFonts w:ascii="Times New Roman" w:eastAsia="Calibri" w:hAnsi="Times New Roman" w:cs="Times New Roman"/>
                <w:color w:val="212529"/>
              </w:rPr>
              <w:t xml:space="preserve">regularly </w:t>
            </w:r>
            <w:r w:rsidRPr="00765EC6">
              <w:rPr>
                <w:rFonts w:ascii="Times New Roman" w:eastAsia="Calibri" w:hAnsi="Times New Roman" w:cs="Times New Roman"/>
                <w:color w:val="212529"/>
              </w:rPr>
              <w:t>review</w:t>
            </w:r>
            <w:r w:rsidR="00E559F6" w:rsidRPr="00765EC6">
              <w:rPr>
                <w:rFonts w:ascii="Times New Roman" w:eastAsia="Calibri" w:hAnsi="Times New Roman" w:cs="Times New Roman"/>
                <w:color w:val="212529"/>
              </w:rPr>
              <w:t>ing</w:t>
            </w:r>
            <w:r w:rsidRPr="00765EC6">
              <w:rPr>
                <w:rFonts w:ascii="Times New Roman" w:eastAsia="Calibri" w:hAnsi="Times New Roman" w:cs="Times New Roman"/>
                <w:color w:val="212529"/>
              </w:rPr>
              <w:t xml:space="preserve"> and updat</w:t>
            </w:r>
            <w:r w:rsidR="00E559F6" w:rsidRPr="00765EC6">
              <w:rPr>
                <w:rFonts w:ascii="Times New Roman" w:eastAsia="Calibri" w:hAnsi="Times New Roman" w:cs="Times New Roman"/>
                <w:color w:val="212529"/>
              </w:rPr>
              <w:t>ing</w:t>
            </w:r>
            <w:r w:rsidR="005F2C59" w:rsidRPr="00765EC6">
              <w:rPr>
                <w:rFonts w:ascii="Times New Roman" w:eastAsia="Calibri" w:hAnsi="Times New Roman" w:cs="Times New Roman"/>
                <w:color w:val="212529"/>
              </w:rPr>
              <w:t xml:space="preserve"> </w:t>
            </w:r>
            <w:r w:rsidR="00DF43BB" w:rsidRPr="00765EC6">
              <w:rPr>
                <w:rFonts w:ascii="Times New Roman" w:eastAsia="Calibri" w:hAnsi="Times New Roman" w:cs="Times New Roman"/>
                <w:color w:val="212529"/>
              </w:rPr>
              <w:t xml:space="preserve">a detailed </w:t>
            </w:r>
            <w:r w:rsidR="0018705B" w:rsidRPr="00765EC6">
              <w:rPr>
                <w:rFonts w:ascii="Times New Roman" w:eastAsia="Calibri" w:hAnsi="Times New Roman" w:cs="Times New Roman"/>
                <w:color w:val="212529"/>
              </w:rPr>
              <w:t>map</w:t>
            </w:r>
            <w:r w:rsidR="00DF43BB" w:rsidRPr="00765EC6">
              <w:rPr>
                <w:rFonts w:ascii="Times New Roman" w:eastAsia="Calibri" w:hAnsi="Times New Roman" w:cs="Times New Roman"/>
                <w:color w:val="212529"/>
              </w:rPr>
              <w:t xml:space="preserve"> of</w:t>
            </w:r>
            <w:r w:rsidR="0018705B" w:rsidRPr="00765EC6">
              <w:rPr>
                <w:rFonts w:ascii="Times New Roman" w:eastAsia="Calibri" w:hAnsi="Times New Roman" w:cs="Times New Roman"/>
                <w:color w:val="212529"/>
              </w:rPr>
              <w:t xml:space="preserve"> the landscape of international </w:t>
            </w:r>
            <w:r w:rsidR="00F4714F" w:rsidRPr="00765EC6">
              <w:rPr>
                <w:rFonts w:ascii="Times New Roman" w:eastAsia="Calibri" w:hAnsi="Times New Roman" w:cs="Times New Roman"/>
                <w:color w:val="212529"/>
              </w:rPr>
              <w:t>initiatives and their hydrogen workstreams</w:t>
            </w:r>
            <w:r w:rsidR="00DF43BB" w:rsidRPr="00765EC6">
              <w:rPr>
                <w:rFonts w:ascii="Times New Roman" w:eastAsia="Calibri" w:hAnsi="Times New Roman" w:cs="Times New Roman"/>
                <w:color w:val="212529"/>
              </w:rPr>
              <w:t xml:space="preserve"> </w:t>
            </w:r>
            <w:r w:rsidR="001912E9" w:rsidRPr="00765EC6">
              <w:rPr>
                <w:rFonts w:ascii="Times New Roman" w:eastAsia="Calibri" w:hAnsi="Times New Roman" w:cs="Times New Roman"/>
                <w:color w:val="212529"/>
              </w:rPr>
              <w:t>and</w:t>
            </w:r>
            <w:r w:rsidR="00C51507" w:rsidRPr="00765EC6">
              <w:rPr>
                <w:rFonts w:ascii="Times New Roman" w:eastAsia="Calibri" w:hAnsi="Times New Roman" w:cs="Times New Roman"/>
                <w:color w:val="212529"/>
              </w:rPr>
              <w:t xml:space="preserve"> to </w:t>
            </w:r>
            <w:r w:rsidR="00611DB3" w:rsidRPr="00765EC6">
              <w:rPr>
                <w:rFonts w:ascii="Times New Roman" w:eastAsia="Calibri" w:hAnsi="Times New Roman" w:cs="Times New Roman"/>
                <w:color w:val="212529"/>
              </w:rPr>
              <w:t xml:space="preserve">broker a shared understanding of respective roles and plans, </w:t>
            </w:r>
            <w:r w:rsidR="00B02460" w:rsidRPr="00765EC6">
              <w:rPr>
                <w:rFonts w:ascii="Times New Roman" w:eastAsia="Calibri" w:hAnsi="Times New Roman" w:cs="Times New Roman"/>
                <w:color w:val="212529"/>
              </w:rPr>
              <w:t xml:space="preserve">to </w:t>
            </w:r>
            <w:r w:rsidR="00C51507" w:rsidRPr="00765EC6">
              <w:rPr>
                <w:rFonts w:ascii="Times New Roman" w:eastAsia="Calibri" w:hAnsi="Times New Roman" w:cs="Times New Roman"/>
                <w:color w:val="212529"/>
              </w:rPr>
              <w:t>identify gaps and overlaps</w:t>
            </w:r>
            <w:r w:rsidR="00D549E7" w:rsidRPr="00765EC6">
              <w:rPr>
                <w:rFonts w:ascii="Times New Roman" w:eastAsia="Calibri" w:hAnsi="Times New Roman" w:cs="Times New Roman"/>
                <w:color w:val="212529"/>
              </w:rPr>
              <w:t xml:space="preserve">, develop </w:t>
            </w:r>
            <w:r w:rsidR="001B2357" w:rsidRPr="00765EC6">
              <w:rPr>
                <w:rFonts w:ascii="Times New Roman" w:eastAsia="Calibri" w:hAnsi="Times New Roman" w:cs="Times New Roman"/>
                <w:color w:val="212529"/>
              </w:rPr>
              <w:t>options</w:t>
            </w:r>
            <w:r w:rsidR="00D549E7" w:rsidRPr="00765EC6">
              <w:rPr>
                <w:rFonts w:ascii="Times New Roman" w:eastAsia="Calibri" w:hAnsi="Times New Roman" w:cs="Times New Roman"/>
                <w:color w:val="212529"/>
              </w:rPr>
              <w:t xml:space="preserve"> and broker support for </w:t>
            </w:r>
            <w:r w:rsidR="00027F08" w:rsidRPr="00765EC6">
              <w:rPr>
                <w:rFonts w:ascii="Times New Roman" w:eastAsia="Calibri" w:hAnsi="Times New Roman" w:cs="Times New Roman"/>
                <w:color w:val="212529"/>
              </w:rPr>
              <w:t>delivery</w:t>
            </w:r>
            <w:r w:rsidR="00E559F6" w:rsidRPr="00765EC6">
              <w:rPr>
                <w:rFonts w:ascii="Times New Roman" w:eastAsia="Calibri" w:hAnsi="Times New Roman" w:cs="Times New Roman"/>
                <w:color w:val="212529"/>
              </w:rPr>
              <w:t>.</w:t>
            </w:r>
            <w:r w:rsidR="0018705B" w:rsidRPr="00765EC6">
              <w:rPr>
                <w:rFonts w:ascii="Times New Roman" w:eastAsia="Calibri" w:hAnsi="Times New Roman" w:cs="Times New Roman"/>
                <w:color w:val="212529"/>
              </w:rPr>
              <w:t xml:space="preserve"> </w:t>
            </w:r>
          </w:p>
          <w:p w14:paraId="62FA8822" w14:textId="06A33391" w:rsidR="00CB4B53" w:rsidRPr="00765EC6" w:rsidRDefault="00CB4B53" w:rsidP="00CB4B53">
            <w:pPr>
              <w:rPr>
                <w:rFonts w:ascii="Times New Roman" w:eastAsia="Calibri" w:hAnsi="Times New Roman" w:cs="Times New Roman"/>
                <w:color w:val="212529"/>
              </w:rPr>
            </w:pPr>
          </w:p>
        </w:tc>
        <w:tc>
          <w:tcPr>
            <w:tcW w:w="2126" w:type="dxa"/>
          </w:tcPr>
          <w:p w14:paraId="7808BCB5" w14:textId="37D7ECE5" w:rsidR="00CB4B53" w:rsidRPr="00765EC6" w:rsidRDefault="00F242B4" w:rsidP="00B33D0D">
            <w:pPr>
              <w:spacing w:before="100" w:after="100"/>
              <w:rPr>
                <w:rFonts w:ascii="Times New Roman" w:hAnsi="Times New Roman" w:cs="Times New Roman"/>
              </w:rPr>
            </w:pPr>
            <w:r w:rsidRPr="00765EC6">
              <w:rPr>
                <w:rFonts w:ascii="Times New Roman" w:hAnsi="Times New Roman" w:cs="Times New Roman"/>
              </w:rPr>
              <w:t xml:space="preserve">Breakthrough Agenda </w:t>
            </w:r>
            <w:r w:rsidR="00866137" w:rsidRPr="00765EC6">
              <w:rPr>
                <w:rFonts w:ascii="Times New Roman" w:hAnsi="Times New Roman" w:cs="Times New Roman"/>
              </w:rPr>
              <w:t xml:space="preserve">project </w:t>
            </w:r>
            <w:r w:rsidRPr="00765EC6">
              <w:rPr>
                <w:rFonts w:ascii="Times New Roman" w:hAnsi="Times New Roman" w:cs="Times New Roman"/>
              </w:rPr>
              <w:t xml:space="preserve">team </w:t>
            </w:r>
            <w:r w:rsidR="0023513C" w:rsidRPr="00765EC6">
              <w:rPr>
                <w:rFonts w:ascii="Times New Roman" w:hAnsi="Times New Roman" w:cs="Times New Roman"/>
              </w:rPr>
              <w:t xml:space="preserve">in close partnership with </w:t>
            </w:r>
            <w:r w:rsidR="0011345D" w:rsidRPr="00765EC6">
              <w:rPr>
                <w:rFonts w:ascii="Times New Roman" w:hAnsi="Times New Roman" w:cs="Times New Roman"/>
              </w:rPr>
              <w:t xml:space="preserve">and in support of </w:t>
            </w:r>
            <w:r w:rsidR="001F4B92" w:rsidRPr="00765EC6">
              <w:rPr>
                <w:rFonts w:ascii="Times New Roman" w:hAnsi="Times New Roman" w:cs="Times New Roman"/>
              </w:rPr>
              <w:t xml:space="preserve">key </w:t>
            </w:r>
            <w:r w:rsidR="005C7A18" w:rsidRPr="00765EC6">
              <w:rPr>
                <w:rFonts w:ascii="Times New Roman" w:hAnsi="Times New Roman" w:cs="Times New Roman"/>
              </w:rPr>
              <w:t xml:space="preserve">international </w:t>
            </w:r>
            <w:r w:rsidR="001F4B92" w:rsidRPr="00765EC6">
              <w:rPr>
                <w:rFonts w:ascii="Times New Roman" w:hAnsi="Times New Roman" w:cs="Times New Roman"/>
              </w:rPr>
              <w:t>hydrogen</w:t>
            </w:r>
            <w:r w:rsidR="0023513C" w:rsidRPr="00765EC6">
              <w:rPr>
                <w:rFonts w:ascii="Times New Roman" w:hAnsi="Times New Roman" w:cs="Times New Roman"/>
              </w:rPr>
              <w:t xml:space="preserve"> initiatives. </w:t>
            </w:r>
          </w:p>
        </w:tc>
        <w:tc>
          <w:tcPr>
            <w:tcW w:w="2333" w:type="dxa"/>
          </w:tcPr>
          <w:p w14:paraId="2BECBE5C" w14:textId="77777777" w:rsidR="3207E291" w:rsidRDefault="00035977" w:rsidP="3207E291">
            <w:pPr>
              <w:rPr>
                <w:rFonts w:ascii="Times New Roman" w:hAnsi="Times New Roman" w:cs="Times New Roman"/>
              </w:rPr>
            </w:pPr>
            <w:r>
              <w:rPr>
                <w:rFonts w:ascii="Times New Roman" w:hAnsi="Times New Roman" w:cs="Times New Roman"/>
              </w:rPr>
              <w:t>Australia</w:t>
            </w:r>
          </w:p>
          <w:p w14:paraId="645176FB" w14:textId="77777777" w:rsidR="00035977" w:rsidRDefault="00035977" w:rsidP="3207E291">
            <w:pPr>
              <w:rPr>
                <w:rFonts w:ascii="Times New Roman" w:hAnsi="Times New Roman" w:cs="Times New Roman"/>
              </w:rPr>
            </w:pPr>
            <w:r>
              <w:rPr>
                <w:rFonts w:ascii="Times New Roman" w:hAnsi="Times New Roman" w:cs="Times New Roman"/>
              </w:rPr>
              <w:t>Azerbaijan</w:t>
            </w:r>
          </w:p>
          <w:p w14:paraId="55AB54FD" w14:textId="77777777" w:rsidR="007A04B6" w:rsidRDefault="007A04B6" w:rsidP="007A04B6">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Cambodia</w:t>
            </w:r>
          </w:p>
          <w:p w14:paraId="5505B7A3" w14:textId="77777777" w:rsidR="00035977" w:rsidRDefault="00035977" w:rsidP="3207E291">
            <w:pPr>
              <w:rPr>
                <w:rFonts w:ascii="Times New Roman" w:hAnsi="Times New Roman" w:cs="Times New Roman"/>
              </w:rPr>
            </w:pPr>
            <w:r>
              <w:rPr>
                <w:rFonts w:ascii="Times New Roman" w:hAnsi="Times New Roman" w:cs="Times New Roman"/>
              </w:rPr>
              <w:t>Canada</w:t>
            </w:r>
          </w:p>
          <w:p w14:paraId="1DE68B71" w14:textId="77777777" w:rsidR="00035977" w:rsidRDefault="00035977" w:rsidP="3207E291">
            <w:pPr>
              <w:rPr>
                <w:rFonts w:ascii="Times New Roman" w:hAnsi="Times New Roman" w:cs="Times New Roman"/>
              </w:rPr>
            </w:pPr>
            <w:r>
              <w:rPr>
                <w:rFonts w:ascii="Times New Roman" w:hAnsi="Times New Roman" w:cs="Times New Roman"/>
              </w:rPr>
              <w:t>European Commission</w:t>
            </w:r>
          </w:p>
          <w:p w14:paraId="1AFCF327" w14:textId="77777777" w:rsidR="00035977" w:rsidRDefault="00035977" w:rsidP="3207E291">
            <w:pPr>
              <w:rPr>
                <w:rFonts w:ascii="Times New Roman" w:hAnsi="Times New Roman" w:cs="Times New Roman"/>
              </w:rPr>
            </w:pPr>
            <w:r>
              <w:rPr>
                <w:rFonts w:ascii="Times New Roman" w:hAnsi="Times New Roman" w:cs="Times New Roman"/>
              </w:rPr>
              <w:t>Finland</w:t>
            </w:r>
          </w:p>
          <w:p w14:paraId="248B15C1" w14:textId="77777777" w:rsidR="00035977" w:rsidRDefault="00035977" w:rsidP="3207E291">
            <w:pPr>
              <w:rPr>
                <w:rFonts w:ascii="Times New Roman" w:hAnsi="Times New Roman" w:cs="Times New Roman"/>
              </w:rPr>
            </w:pPr>
            <w:r>
              <w:rPr>
                <w:rFonts w:ascii="Times New Roman" w:hAnsi="Times New Roman" w:cs="Times New Roman"/>
              </w:rPr>
              <w:t>Germany</w:t>
            </w:r>
          </w:p>
          <w:p w14:paraId="40A0A647" w14:textId="1B399C97" w:rsidR="00281374" w:rsidRPr="00281374" w:rsidRDefault="00281374" w:rsidP="3207E291">
            <w:pPr>
              <w:rPr>
                <w:rFonts w:ascii="Times New Roman" w:eastAsia="Times New Roman" w:hAnsi="Times New Roman" w:cs="Times New Roman"/>
                <w:lang w:eastAsia="en-GB"/>
              </w:rPr>
            </w:pPr>
            <w:r>
              <w:rPr>
                <w:rFonts w:ascii="Times New Roman" w:eastAsia="Times New Roman" w:hAnsi="Times New Roman" w:cs="Times New Roman"/>
                <w:lang w:eastAsia="en-GB"/>
              </w:rPr>
              <w:t>Guinea Bissau</w:t>
            </w:r>
          </w:p>
          <w:p w14:paraId="70A4357E" w14:textId="77777777" w:rsidR="00035977" w:rsidRDefault="00035977" w:rsidP="3207E291">
            <w:pPr>
              <w:rPr>
                <w:rFonts w:ascii="Times New Roman" w:hAnsi="Times New Roman" w:cs="Times New Roman"/>
              </w:rPr>
            </w:pPr>
            <w:r>
              <w:rPr>
                <w:rFonts w:ascii="Times New Roman" w:hAnsi="Times New Roman" w:cs="Times New Roman"/>
              </w:rPr>
              <w:t>Ireland</w:t>
            </w:r>
          </w:p>
          <w:p w14:paraId="26073DC1" w14:textId="77777777" w:rsidR="00035977" w:rsidRDefault="00035977" w:rsidP="3207E291">
            <w:pPr>
              <w:rPr>
                <w:rFonts w:ascii="Times New Roman" w:hAnsi="Times New Roman" w:cs="Times New Roman"/>
              </w:rPr>
            </w:pPr>
            <w:r>
              <w:rPr>
                <w:rFonts w:ascii="Times New Roman" w:hAnsi="Times New Roman" w:cs="Times New Roman"/>
              </w:rPr>
              <w:t>Japan</w:t>
            </w:r>
          </w:p>
          <w:p w14:paraId="345AEDFE" w14:textId="44144BD5" w:rsidR="00852434" w:rsidRDefault="00852434" w:rsidP="3207E291">
            <w:pPr>
              <w:rPr>
                <w:rFonts w:ascii="Times New Roman" w:hAnsi="Times New Roman" w:cs="Times New Roman"/>
              </w:rPr>
            </w:pPr>
            <w:r>
              <w:rPr>
                <w:rFonts w:ascii="Times New Roman" w:hAnsi="Times New Roman" w:cs="Times New Roman"/>
              </w:rPr>
              <w:t>Netherlands</w:t>
            </w:r>
          </w:p>
          <w:p w14:paraId="19C94862" w14:textId="77777777" w:rsidR="00035977" w:rsidRDefault="00035977" w:rsidP="3207E291">
            <w:pPr>
              <w:rPr>
                <w:rFonts w:ascii="Times New Roman" w:hAnsi="Times New Roman" w:cs="Times New Roman"/>
              </w:rPr>
            </w:pPr>
            <w:r>
              <w:rPr>
                <w:rFonts w:ascii="Times New Roman" w:hAnsi="Times New Roman" w:cs="Times New Roman"/>
              </w:rPr>
              <w:t>Norway</w:t>
            </w:r>
          </w:p>
          <w:p w14:paraId="23DAE7D7" w14:textId="77777777" w:rsidR="00035977" w:rsidRDefault="00035977" w:rsidP="3207E291">
            <w:pPr>
              <w:rPr>
                <w:rFonts w:ascii="Times New Roman" w:hAnsi="Times New Roman" w:cs="Times New Roman"/>
              </w:rPr>
            </w:pPr>
            <w:r>
              <w:rPr>
                <w:rFonts w:ascii="Times New Roman" w:hAnsi="Times New Roman" w:cs="Times New Roman"/>
              </w:rPr>
              <w:t>Panama</w:t>
            </w:r>
          </w:p>
          <w:p w14:paraId="7875A70B" w14:textId="77777777" w:rsidR="00091C93" w:rsidRDefault="00091C93" w:rsidP="00091C93">
            <w:pPr>
              <w:rPr>
                <w:rFonts w:ascii="Times New Roman" w:eastAsia="Calibri" w:hAnsi="Times New Roman" w:cs="Times New Roman"/>
                <w:color w:val="212529"/>
              </w:rPr>
            </w:pPr>
            <w:r>
              <w:rPr>
                <w:rFonts w:ascii="Times New Roman" w:eastAsia="Calibri" w:hAnsi="Times New Roman" w:cs="Times New Roman"/>
                <w:color w:val="212529"/>
              </w:rPr>
              <w:t>Spain</w:t>
            </w:r>
          </w:p>
          <w:p w14:paraId="21AD3012" w14:textId="77777777" w:rsidR="00035977" w:rsidRDefault="00035977" w:rsidP="3207E291">
            <w:pPr>
              <w:rPr>
                <w:rFonts w:ascii="Times New Roman" w:hAnsi="Times New Roman" w:cs="Times New Roman"/>
              </w:rPr>
            </w:pPr>
            <w:r>
              <w:rPr>
                <w:rFonts w:ascii="Times New Roman" w:hAnsi="Times New Roman" w:cs="Times New Roman"/>
              </w:rPr>
              <w:t>Sweden</w:t>
            </w:r>
          </w:p>
          <w:p w14:paraId="7AD91B2E" w14:textId="739D63F7" w:rsidR="006F2EA3" w:rsidRDefault="006F2EA3" w:rsidP="3207E291">
            <w:pPr>
              <w:rPr>
                <w:rFonts w:ascii="Times New Roman" w:hAnsi="Times New Roman" w:cs="Times New Roman"/>
              </w:rPr>
            </w:pPr>
            <w:r>
              <w:rPr>
                <w:rFonts w:ascii="Times New Roman" w:hAnsi="Times New Roman" w:cs="Times New Roman"/>
              </w:rPr>
              <w:t>United Arab Emirates</w:t>
            </w:r>
          </w:p>
          <w:p w14:paraId="1E8F3C84" w14:textId="77777777" w:rsidR="3207E291" w:rsidRDefault="00035977" w:rsidP="3207E291">
            <w:pPr>
              <w:rPr>
                <w:rFonts w:ascii="Times New Roman" w:hAnsi="Times New Roman" w:cs="Times New Roman"/>
              </w:rPr>
            </w:pPr>
            <w:r>
              <w:rPr>
                <w:rFonts w:ascii="Times New Roman" w:hAnsi="Times New Roman" w:cs="Times New Roman"/>
              </w:rPr>
              <w:t>United Kingdom</w:t>
            </w:r>
          </w:p>
          <w:p w14:paraId="7F4A4134" w14:textId="53519781" w:rsidR="0059748D" w:rsidRPr="00765EC6" w:rsidRDefault="0059748D" w:rsidP="3207E291">
            <w:pPr>
              <w:rPr>
                <w:rFonts w:ascii="Times New Roman" w:hAnsi="Times New Roman" w:cs="Times New Roman"/>
              </w:rPr>
            </w:pPr>
            <w:r>
              <w:rPr>
                <w:rFonts w:ascii="Times New Roman" w:hAnsi="Times New Roman" w:cs="Times New Roman"/>
              </w:rPr>
              <w:t>United States</w:t>
            </w:r>
          </w:p>
        </w:tc>
      </w:tr>
    </w:tbl>
    <w:p w14:paraId="5E5C0071" w14:textId="77777777" w:rsidR="00E64CD6" w:rsidRDefault="00E64CD6" w:rsidP="00E64CD6">
      <w:pPr>
        <w:rPr>
          <w:rFonts w:ascii="Times New Roman" w:eastAsia="Calibri" w:hAnsi="Times New Roman" w:cs="Times New Roman"/>
          <w:b/>
          <w:color w:val="212529"/>
          <w:highlight w:val="yellow"/>
        </w:rPr>
      </w:pPr>
    </w:p>
    <w:sectPr w:rsidR="00E64CD6" w:rsidSect="00455211">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F484" w14:textId="77777777" w:rsidR="006D7D0E" w:rsidRDefault="006D7D0E" w:rsidP="008F3CF9">
      <w:pPr>
        <w:spacing w:after="0" w:line="240" w:lineRule="auto"/>
      </w:pPr>
      <w:r>
        <w:separator/>
      </w:r>
    </w:p>
  </w:endnote>
  <w:endnote w:type="continuationSeparator" w:id="0">
    <w:p w14:paraId="6724A58D" w14:textId="77777777" w:rsidR="006D7D0E" w:rsidRDefault="006D7D0E" w:rsidP="008F3CF9">
      <w:pPr>
        <w:spacing w:after="0" w:line="240" w:lineRule="auto"/>
      </w:pPr>
      <w:r>
        <w:continuationSeparator/>
      </w:r>
    </w:p>
  </w:endnote>
  <w:endnote w:type="continuationNotice" w:id="1">
    <w:p w14:paraId="267F30A4" w14:textId="77777777" w:rsidR="006D7D0E" w:rsidRDefault="006D7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2541"/>
      <w:docPartObj>
        <w:docPartGallery w:val="Page Numbers (Bottom of Page)"/>
        <w:docPartUnique/>
      </w:docPartObj>
    </w:sdtPr>
    <w:sdtEndPr>
      <w:rPr>
        <w:noProof/>
      </w:rPr>
    </w:sdtEndPr>
    <w:sdtContent>
      <w:p w14:paraId="7FB96A84" w14:textId="28091D4A" w:rsidR="00A5223F" w:rsidRDefault="00A522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9AD6D" w14:textId="77777777" w:rsidR="00A5223F" w:rsidRDefault="00A5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12FD" w14:textId="77777777" w:rsidR="006D7D0E" w:rsidRDefault="006D7D0E" w:rsidP="008F3CF9">
      <w:pPr>
        <w:spacing w:after="0" w:line="240" w:lineRule="auto"/>
      </w:pPr>
      <w:r>
        <w:separator/>
      </w:r>
    </w:p>
  </w:footnote>
  <w:footnote w:type="continuationSeparator" w:id="0">
    <w:p w14:paraId="0AA49CF4" w14:textId="77777777" w:rsidR="006D7D0E" w:rsidRDefault="006D7D0E" w:rsidP="008F3CF9">
      <w:pPr>
        <w:spacing w:after="0" w:line="240" w:lineRule="auto"/>
      </w:pPr>
      <w:r>
        <w:continuationSeparator/>
      </w:r>
    </w:p>
  </w:footnote>
  <w:footnote w:type="continuationNotice" w:id="1">
    <w:p w14:paraId="13D2710E" w14:textId="77777777" w:rsidR="006D7D0E" w:rsidRDefault="006D7D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E9"/>
    <w:multiLevelType w:val="hybridMultilevel"/>
    <w:tmpl w:val="B3A2C85E"/>
    <w:lvl w:ilvl="0" w:tplc="0809000F">
      <w:start w:val="1"/>
      <w:numFmt w:val="decimal"/>
      <w:lvlText w:val="%1."/>
      <w:lvlJc w:val="left"/>
      <w:pPr>
        <w:ind w:left="720" w:hanging="360"/>
      </w:pPr>
    </w:lvl>
    <w:lvl w:ilvl="1" w:tplc="5DB68476">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4360F"/>
    <w:multiLevelType w:val="hybridMultilevel"/>
    <w:tmpl w:val="45C0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41F5D"/>
    <w:multiLevelType w:val="hybridMultilevel"/>
    <w:tmpl w:val="B26687AC"/>
    <w:lvl w:ilvl="0" w:tplc="76261542">
      <w:start w:val="1"/>
      <w:numFmt w:val="bullet"/>
      <w:lvlText w:val="•"/>
      <w:lvlJc w:val="left"/>
      <w:pPr>
        <w:tabs>
          <w:tab w:val="num" w:pos="720"/>
        </w:tabs>
        <w:ind w:left="720" w:hanging="360"/>
      </w:pPr>
      <w:rPr>
        <w:rFonts w:ascii="Arial" w:hAnsi="Arial" w:hint="default"/>
      </w:rPr>
    </w:lvl>
    <w:lvl w:ilvl="1" w:tplc="C7E40366">
      <w:start w:val="1"/>
      <w:numFmt w:val="bullet"/>
      <w:lvlText w:val="•"/>
      <w:lvlJc w:val="left"/>
      <w:pPr>
        <w:tabs>
          <w:tab w:val="num" w:pos="1440"/>
        </w:tabs>
        <w:ind w:left="1440" w:hanging="360"/>
      </w:pPr>
      <w:rPr>
        <w:rFonts w:ascii="Arial" w:hAnsi="Arial" w:hint="default"/>
      </w:rPr>
    </w:lvl>
    <w:lvl w:ilvl="2" w:tplc="B3E85D70" w:tentative="1">
      <w:start w:val="1"/>
      <w:numFmt w:val="bullet"/>
      <w:lvlText w:val="•"/>
      <w:lvlJc w:val="left"/>
      <w:pPr>
        <w:tabs>
          <w:tab w:val="num" w:pos="2160"/>
        </w:tabs>
        <w:ind w:left="2160" w:hanging="360"/>
      </w:pPr>
      <w:rPr>
        <w:rFonts w:ascii="Arial" w:hAnsi="Arial" w:hint="default"/>
      </w:rPr>
    </w:lvl>
    <w:lvl w:ilvl="3" w:tplc="1A662636" w:tentative="1">
      <w:start w:val="1"/>
      <w:numFmt w:val="bullet"/>
      <w:lvlText w:val="•"/>
      <w:lvlJc w:val="left"/>
      <w:pPr>
        <w:tabs>
          <w:tab w:val="num" w:pos="2880"/>
        </w:tabs>
        <w:ind w:left="2880" w:hanging="360"/>
      </w:pPr>
      <w:rPr>
        <w:rFonts w:ascii="Arial" w:hAnsi="Arial" w:hint="default"/>
      </w:rPr>
    </w:lvl>
    <w:lvl w:ilvl="4" w:tplc="2E806D8A" w:tentative="1">
      <w:start w:val="1"/>
      <w:numFmt w:val="bullet"/>
      <w:lvlText w:val="•"/>
      <w:lvlJc w:val="left"/>
      <w:pPr>
        <w:tabs>
          <w:tab w:val="num" w:pos="3600"/>
        </w:tabs>
        <w:ind w:left="3600" w:hanging="360"/>
      </w:pPr>
      <w:rPr>
        <w:rFonts w:ascii="Arial" w:hAnsi="Arial" w:hint="default"/>
      </w:rPr>
    </w:lvl>
    <w:lvl w:ilvl="5" w:tplc="B344C2A6" w:tentative="1">
      <w:start w:val="1"/>
      <w:numFmt w:val="bullet"/>
      <w:lvlText w:val="•"/>
      <w:lvlJc w:val="left"/>
      <w:pPr>
        <w:tabs>
          <w:tab w:val="num" w:pos="4320"/>
        </w:tabs>
        <w:ind w:left="4320" w:hanging="360"/>
      </w:pPr>
      <w:rPr>
        <w:rFonts w:ascii="Arial" w:hAnsi="Arial" w:hint="default"/>
      </w:rPr>
    </w:lvl>
    <w:lvl w:ilvl="6" w:tplc="14660CC2" w:tentative="1">
      <w:start w:val="1"/>
      <w:numFmt w:val="bullet"/>
      <w:lvlText w:val="•"/>
      <w:lvlJc w:val="left"/>
      <w:pPr>
        <w:tabs>
          <w:tab w:val="num" w:pos="5040"/>
        </w:tabs>
        <w:ind w:left="5040" w:hanging="360"/>
      </w:pPr>
      <w:rPr>
        <w:rFonts w:ascii="Arial" w:hAnsi="Arial" w:hint="default"/>
      </w:rPr>
    </w:lvl>
    <w:lvl w:ilvl="7" w:tplc="F288FEBA" w:tentative="1">
      <w:start w:val="1"/>
      <w:numFmt w:val="bullet"/>
      <w:lvlText w:val="•"/>
      <w:lvlJc w:val="left"/>
      <w:pPr>
        <w:tabs>
          <w:tab w:val="num" w:pos="5760"/>
        </w:tabs>
        <w:ind w:left="5760" w:hanging="360"/>
      </w:pPr>
      <w:rPr>
        <w:rFonts w:ascii="Arial" w:hAnsi="Arial" w:hint="default"/>
      </w:rPr>
    </w:lvl>
    <w:lvl w:ilvl="8" w:tplc="C08668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AA1995"/>
    <w:multiLevelType w:val="hybridMultilevel"/>
    <w:tmpl w:val="93C6964C"/>
    <w:lvl w:ilvl="0" w:tplc="65062D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96627"/>
    <w:multiLevelType w:val="hybridMultilevel"/>
    <w:tmpl w:val="C8E80CF4"/>
    <w:lvl w:ilvl="0" w:tplc="1902A00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C419E"/>
    <w:multiLevelType w:val="hybridMultilevel"/>
    <w:tmpl w:val="192AD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67AC1"/>
    <w:multiLevelType w:val="hybridMultilevel"/>
    <w:tmpl w:val="EEB055E8"/>
    <w:lvl w:ilvl="0" w:tplc="08090001">
      <w:start w:val="1"/>
      <w:numFmt w:val="bullet"/>
      <w:lvlText w:val=""/>
      <w:lvlJc w:val="left"/>
      <w:pPr>
        <w:ind w:left="1440" w:hanging="360"/>
      </w:pPr>
      <w:rPr>
        <w:rFonts w:ascii="Symbol" w:hAnsi="Symbol" w:cs="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7DE1821"/>
    <w:multiLevelType w:val="hybridMultilevel"/>
    <w:tmpl w:val="8982D1A0"/>
    <w:lvl w:ilvl="0" w:tplc="498AB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85A21"/>
    <w:multiLevelType w:val="hybridMultilevel"/>
    <w:tmpl w:val="BDF013C8"/>
    <w:lvl w:ilvl="0" w:tplc="6712780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2613C"/>
    <w:multiLevelType w:val="hybridMultilevel"/>
    <w:tmpl w:val="23C0F112"/>
    <w:lvl w:ilvl="0" w:tplc="0430081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C2DAB"/>
    <w:multiLevelType w:val="hybridMultilevel"/>
    <w:tmpl w:val="4A52C21A"/>
    <w:lvl w:ilvl="0" w:tplc="064E5CDA">
      <w:start w:val="1"/>
      <w:numFmt w:val="bullet"/>
      <w:lvlText w:val="•"/>
      <w:lvlJc w:val="left"/>
      <w:pPr>
        <w:tabs>
          <w:tab w:val="num" w:pos="720"/>
        </w:tabs>
        <w:ind w:left="720" w:hanging="360"/>
      </w:pPr>
      <w:rPr>
        <w:rFonts w:ascii="Arial" w:hAnsi="Arial" w:hint="default"/>
      </w:rPr>
    </w:lvl>
    <w:lvl w:ilvl="1" w:tplc="8C146D6A">
      <w:start w:val="1"/>
      <w:numFmt w:val="bullet"/>
      <w:lvlText w:val="•"/>
      <w:lvlJc w:val="left"/>
      <w:pPr>
        <w:tabs>
          <w:tab w:val="num" w:pos="1440"/>
        </w:tabs>
        <w:ind w:left="1440" w:hanging="360"/>
      </w:pPr>
      <w:rPr>
        <w:rFonts w:ascii="Arial" w:hAnsi="Arial" w:hint="default"/>
      </w:rPr>
    </w:lvl>
    <w:lvl w:ilvl="2" w:tplc="1DAEDC46" w:tentative="1">
      <w:start w:val="1"/>
      <w:numFmt w:val="bullet"/>
      <w:lvlText w:val="•"/>
      <w:lvlJc w:val="left"/>
      <w:pPr>
        <w:tabs>
          <w:tab w:val="num" w:pos="2160"/>
        </w:tabs>
        <w:ind w:left="2160" w:hanging="360"/>
      </w:pPr>
      <w:rPr>
        <w:rFonts w:ascii="Arial" w:hAnsi="Arial" w:hint="default"/>
      </w:rPr>
    </w:lvl>
    <w:lvl w:ilvl="3" w:tplc="0E6CBC7C" w:tentative="1">
      <w:start w:val="1"/>
      <w:numFmt w:val="bullet"/>
      <w:lvlText w:val="•"/>
      <w:lvlJc w:val="left"/>
      <w:pPr>
        <w:tabs>
          <w:tab w:val="num" w:pos="2880"/>
        </w:tabs>
        <w:ind w:left="2880" w:hanging="360"/>
      </w:pPr>
      <w:rPr>
        <w:rFonts w:ascii="Arial" w:hAnsi="Arial" w:hint="default"/>
      </w:rPr>
    </w:lvl>
    <w:lvl w:ilvl="4" w:tplc="59E40572" w:tentative="1">
      <w:start w:val="1"/>
      <w:numFmt w:val="bullet"/>
      <w:lvlText w:val="•"/>
      <w:lvlJc w:val="left"/>
      <w:pPr>
        <w:tabs>
          <w:tab w:val="num" w:pos="3600"/>
        </w:tabs>
        <w:ind w:left="3600" w:hanging="360"/>
      </w:pPr>
      <w:rPr>
        <w:rFonts w:ascii="Arial" w:hAnsi="Arial" w:hint="default"/>
      </w:rPr>
    </w:lvl>
    <w:lvl w:ilvl="5" w:tplc="315036FC" w:tentative="1">
      <w:start w:val="1"/>
      <w:numFmt w:val="bullet"/>
      <w:lvlText w:val="•"/>
      <w:lvlJc w:val="left"/>
      <w:pPr>
        <w:tabs>
          <w:tab w:val="num" w:pos="4320"/>
        </w:tabs>
        <w:ind w:left="4320" w:hanging="360"/>
      </w:pPr>
      <w:rPr>
        <w:rFonts w:ascii="Arial" w:hAnsi="Arial" w:hint="default"/>
      </w:rPr>
    </w:lvl>
    <w:lvl w:ilvl="6" w:tplc="F0408F24" w:tentative="1">
      <w:start w:val="1"/>
      <w:numFmt w:val="bullet"/>
      <w:lvlText w:val="•"/>
      <w:lvlJc w:val="left"/>
      <w:pPr>
        <w:tabs>
          <w:tab w:val="num" w:pos="5040"/>
        </w:tabs>
        <w:ind w:left="5040" w:hanging="360"/>
      </w:pPr>
      <w:rPr>
        <w:rFonts w:ascii="Arial" w:hAnsi="Arial" w:hint="default"/>
      </w:rPr>
    </w:lvl>
    <w:lvl w:ilvl="7" w:tplc="B9EE7202" w:tentative="1">
      <w:start w:val="1"/>
      <w:numFmt w:val="bullet"/>
      <w:lvlText w:val="•"/>
      <w:lvlJc w:val="left"/>
      <w:pPr>
        <w:tabs>
          <w:tab w:val="num" w:pos="5760"/>
        </w:tabs>
        <w:ind w:left="5760" w:hanging="360"/>
      </w:pPr>
      <w:rPr>
        <w:rFonts w:ascii="Arial" w:hAnsi="Arial" w:hint="default"/>
      </w:rPr>
    </w:lvl>
    <w:lvl w:ilvl="8" w:tplc="101417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837919"/>
    <w:multiLevelType w:val="hybridMultilevel"/>
    <w:tmpl w:val="64047FB8"/>
    <w:lvl w:ilvl="0" w:tplc="701EB9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D26C60"/>
    <w:multiLevelType w:val="hybridMultilevel"/>
    <w:tmpl w:val="EE42D95A"/>
    <w:lvl w:ilvl="0" w:tplc="0430081A">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67624C"/>
    <w:multiLevelType w:val="hybridMultilevel"/>
    <w:tmpl w:val="D124D584"/>
    <w:lvl w:ilvl="0" w:tplc="09962C38">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0C5E1F"/>
    <w:multiLevelType w:val="hybridMultilevel"/>
    <w:tmpl w:val="D4708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29786D"/>
    <w:multiLevelType w:val="hybridMultilevel"/>
    <w:tmpl w:val="61E60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44BDD"/>
    <w:multiLevelType w:val="hybridMultilevel"/>
    <w:tmpl w:val="1556E4FE"/>
    <w:lvl w:ilvl="0" w:tplc="94BECB78">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752F0"/>
    <w:multiLevelType w:val="hybridMultilevel"/>
    <w:tmpl w:val="4B22BC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472759"/>
    <w:multiLevelType w:val="hybridMultilevel"/>
    <w:tmpl w:val="7A7EC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1594143">
    <w:abstractNumId w:val="4"/>
  </w:num>
  <w:num w:numId="2" w16cid:durableId="1544708852">
    <w:abstractNumId w:val="9"/>
  </w:num>
  <w:num w:numId="3" w16cid:durableId="100540202">
    <w:abstractNumId w:val="12"/>
  </w:num>
  <w:num w:numId="4" w16cid:durableId="235747517">
    <w:abstractNumId w:val="6"/>
  </w:num>
  <w:num w:numId="5" w16cid:durableId="365255618">
    <w:abstractNumId w:val="8"/>
  </w:num>
  <w:num w:numId="6" w16cid:durableId="352850887">
    <w:abstractNumId w:val="15"/>
  </w:num>
  <w:num w:numId="7" w16cid:durableId="1787310704">
    <w:abstractNumId w:val="5"/>
  </w:num>
  <w:num w:numId="8" w16cid:durableId="770319982">
    <w:abstractNumId w:val="0"/>
  </w:num>
  <w:num w:numId="9" w16cid:durableId="554269657">
    <w:abstractNumId w:val="1"/>
  </w:num>
  <w:num w:numId="10" w16cid:durableId="711151470">
    <w:abstractNumId w:val="18"/>
  </w:num>
  <w:num w:numId="11" w16cid:durableId="96214385">
    <w:abstractNumId w:val="3"/>
  </w:num>
  <w:num w:numId="12" w16cid:durableId="660357518">
    <w:abstractNumId w:val="2"/>
  </w:num>
  <w:num w:numId="13" w16cid:durableId="774860942">
    <w:abstractNumId w:val="10"/>
  </w:num>
  <w:num w:numId="14" w16cid:durableId="1599363737">
    <w:abstractNumId w:val="16"/>
  </w:num>
  <w:num w:numId="15" w16cid:durableId="2017076471">
    <w:abstractNumId w:val="17"/>
  </w:num>
  <w:num w:numId="16" w16cid:durableId="418209942">
    <w:abstractNumId w:val="14"/>
  </w:num>
  <w:num w:numId="17" w16cid:durableId="1564490171">
    <w:abstractNumId w:val="7"/>
  </w:num>
  <w:num w:numId="18" w16cid:durableId="158009407">
    <w:abstractNumId w:val="11"/>
  </w:num>
  <w:num w:numId="19" w16cid:durableId="10662221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C4"/>
    <w:rsid w:val="00001907"/>
    <w:rsid w:val="00001F34"/>
    <w:rsid w:val="000021B5"/>
    <w:rsid w:val="00004D5C"/>
    <w:rsid w:val="00005C35"/>
    <w:rsid w:val="00010221"/>
    <w:rsid w:val="000109EA"/>
    <w:rsid w:val="00011072"/>
    <w:rsid w:val="00012A3C"/>
    <w:rsid w:val="00012FB0"/>
    <w:rsid w:val="00013947"/>
    <w:rsid w:val="000146BD"/>
    <w:rsid w:val="0001546F"/>
    <w:rsid w:val="00015B4E"/>
    <w:rsid w:val="0002078C"/>
    <w:rsid w:val="00021383"/>
    <w:rsid w:val="00022639"/>
    <w:rsid w:val="00022B13"/>
    <w:rsid w:val="00022E34"/>
    <w:rsid w:val="00025E0F"/>
    <w:rsid w:val="00027500"/>
    <w:rsid w:val="00027F08"/>
    <w:rsid w:val="000317AB"/>
    <w:rsid w:val="00035977"/>
    <w:rsid w:val="00036DE6"/>
    <w:rsid w:val="00037D36"/>
    <w:rsid w:val="00043FDD"/>
    <w:rsid w:val="000465DD"/>
    <w:rsid w:val="00047C1A"/>
    <w:rsid w:val="0005013C"/>
    <w:rsid w:val="0005037B"/>
    <w:rsid w:val="00052B4E"/>
    <w:rsid w:val="00054EA6"/>
    <w:rsid w:val="000563F1"/>
    <w:rsid w:val="00062721"/>
    <w:rsid w:val="00063DAB"/>
    <w:rsid w:val="0006466F"/>
    <w:rsid w:val="000655DE"/>
    <w:rsid w:val="0006697D"/>
    <w:rsid w:val="000707D0"/>
    <w:rsid w:val="0007247D"/>
    <w:rsid w:val="00073A54"/>
    <w:rsid w:val="00075919"/>
    <w:rsid w:val="00077069"/>
    <w:rsid w:val="000776C7"/>
    <w:rsid w:val="00082F4C"/>
    <w:rsid w:val="000837D0"/>
    <w:rsid w:val="00084026"/>
    <w:rsid w:val="0008484C"/>
    <w:rsid w:val="00084C89"/>
    <w:rsid w:val="00087404"/>
    <w:rsid w:val="00087A95"/>
    <w:rsid w:val="00090748"/>
    <w:rsid w:val="000909DD"/>
    <w:rsid w:val="00090E47"/>
    <w:rsid w:val="00091C93"/>
    <w:rsid w:val="00095B5C"/>
    <w:rsid w:val="000A049F"/>
    <w:rsid w:val="000A0D48"/>
    <w:rsid w:val="000A12CD"/>
    <w:rsid w:val="000A176F"/>
    <w:rsid w:val="000A5FCB"/>
    <w:rsid w:val="000B000F"/>
    <w:rsid w:val="000B3193"/>
    <w:rsid w:val="000B3D04"/>
    <w:rsid w:val="000B5E14"/>
    <w:rsid w:val="000B6BC1"/>
    <w:rsid w:val="000B76A1"/>
    <w:rsid w:val="000C1A7B"/>
    <w:rsid w:val="000C1C6A"/>
    <w:rsid w:val="000C3E33"/>
    <w:rsid w:val="000C4CBE"/>
    <w:rsid w:val="000C557B"/>
    <w:rsid w:val="000C5F61"/>
    <w:rsid w:val="000D09E6"/>
    <w:rsid w:val="000D3414"/>
    <w:rsid w:val="000D3D28"/>
    <w:rsid w:val="000D3F8A"/>
    <w:rsid w:val="000D4B8F"/>
    <w:rsid w:val="000D57E8"/>
    <w:rsid w:val="000E32E2"/>
    <w:rsid w:val="000E3DC5"/>
    <w:rsid w:val="000E5900"/>
    <w:rsid w:val="000E790B"/>
    <w:rsid w:val="000F12F5"/>
    <w:rsid w:val="000F1E13"/>
    <w:rsid w:val="000F405B"/>
    <w:rsid w:val="000F56C6"/>
    <w:rsid w:val="000F5710"/>
    <w:rsid w:val="000F5A80"/>
    <w:rsid w:val="000F61FD"/>
    <w:rsid w:val="000F7B9F"/>
    <w:rsid w:val="00102495"/>
    <w:rsid w:val="001130C7"/>
    <w:rsid w:val="0011345D"/>
    <w:rsid w:val="00114732"/>
    <w:rsid w:val="001170D0"/>
    <w:rsid w:val="00124B3E"/>
    <w:rsid w:val="00124DCB"/>
    <w:rsid w:val="00127887"/>
    <w:rsid w:val="00127C7F"/>
    <w:rsid w:val="0013256C"/>
    <w:rsid w:val="00135072"/>
    <w:rsid w:val="00137BC3"/>
    <w:rsid w:val="00141B8B"/>
    <w:rsid w:val="001450A2"/>
    <w:rsid w:val="00145B99"/>
    <w:rsid w:val="00147E85"/>
    <w:rsid w:val="00155C73"/>
    <w:rsid w:val="001575CF"/>
    <w:rsid w:val="001607B9"/>
    <w:rsid w:val="00162831"/>
    <w:rsid w:val="0016368D"/>
    <w:rsid w:val="0016685E"/>
    <w:rsid w:val="001669EF"/>
    <w:rsid w:val="00170DAD"/>
    <w:rsid w:val="0017110B"/>
    <w:rsid w:val="00175926"/>
    <w:rsid w:val="0017654B"/>
    <w:rsid w:val="00176E5E"/>
    <w:rsid w:val="001778AD"/>
    <w:rsid w:val="00180991"/>
    <w:rsid w:val="00180E72"/>
    <w:rsid w:val="00181659"/>
    <w:rsid w:val="00181B3B"/>
    <w:rsid w:val="0018705B"/>
    <w:rsid w:val="00187D15"/>
    <w:rsid w:val="00190ED5"/>
    <w:rsid w:val="00191097"/>
    <w:rsid w:val="001912E9"/>
    <w:rsid w:val="00191FD1"/>
    <w:rsid w:val="00193A2C"/>
    <w:rsid w:val="00194202"/>
    <w:rsid w:val="001943DF"/>
    <w:rsid w:val="0019474B"/>
    <w:rsid w:val="001975EC"/>
    <w:rsid w:val="001A3534"/>
    <w:rsid w:val="001A565A"/>
    <w:rsid w:val="001A635A"/>
    <w:rsid w:val="001A6D5E"/>
    <w:rsid w:val="001B1560"/>
    <w:rsid w:val="001B2357"/>
    <w:rsid w:val="001B250D"/>
    <w:rsid w:val="001B3234"/>
    <w:rsid w:val="001B3356"/>
    <w:rsid w:val="001B3DDE"/>
    <w:rsid w:val="001B7469"/>
    <w:rsid w:val="001C0322"/>
    <w:rsid w:val="001C237F"/>
    <w:rsid w:val="001C23E7"/>
    <w:rsid w:val="001C2464"/>
    <w:rsid w:val="001C27FD"/>
    <w:rsid w:val="001C3749"/>
    <w:rsid w:val="001C3D86"/>
    <w:rsid w:val="001C79E3"/>
    <w:rsid w:val="001C7C42"/>
    <w:rsid w:val="001C7CAF"/>
    <w:rsid w:val="001D0B7A"/>
    <w:rsid w:val="001D12E2"/>
    <w:rsid w:val="001D31EC"/>
    <w:rsid w:val="001D5897"/>
    <w:rsid w:val="001E62EA"/>
    <w:rsid w:val="001E65B7"/>
    <w:rsid w:val="001E7B10"/>
    <w:rsid w:val="001F0533"/>
    <w:rsid w:val="001F19DD"/>
    <w:rsid w:val="001F2BB1"/>
    <w:rsid w:val="001F4B92"/>
    <w:rsid w:val="001F6E05"/>
    <w:rsid w:val="001F7D39"/>
    <w:rsid w:val="00202636"/>
    <w:rsid w:val="00202E49"/>
    <w:rsid w:val="00206131"/>
    <w:rsid w:val="002067D3"/>
    <w:rsid w:val="00206AFC"/>
    <w:rsid w:val="0020765B"/>
    <w:rsid w:val="0021276A"/>
    <w:rsid w:val="0021345D"/>
    <w:rsid w:val="002153C2"/>
    <w:rsid w:val="002164DC"/>
    <w:rsid w:val="0021696D"/>
    <w:rsid w:val="00216FC6"/>
    <w:rsid w:val="00220F34"/>
    <w:rsid w:val="00221F6F"/>
    <w:rsid w:val="002256EF"/>
    <w:rsid w:val="0022572F"/>
    <w:rsid w:val="0023023C"/>
    <w:rsid w:val="0023075B"/>
    <w:rsid w:val="002316BC"/>
    <w:rsid w:val="002319C3"/>
    <w:rsid w:val="0023513C"/>
    <w:rsid w:val="002379B1"/>
    <w:rsid w:val="0024561F"/>
    <w:rsid w:val="002529EC"/>
    <w:rsid w:val="00253F64"/>
    <w:rsid w:val="00254010"/>
    <w:rsid w:val="00254139"/>
    <w:rsid w:val="002553AA"/>
    <w:rsid w:val="002554E5"/>
    <w:rsid w:val="00261614"/>
    <w:rsid w:val="002618AA"/>
    <w:rsid w:val="00265727"/>
    <w:rsid w:val="00271F7D"/>
    <w:rsid w:val="00272E0A"/>
    <w:rsid w:val="00273BB5"/>
    <w:rsid w:val="0027719E"/>
    <w:rsid w:val="00280090"/>
    <w:rsid w:val="00281374"/>
    <w:rsid w:val="00282E62"/>
    <w:rsid w:val="00284897"/>
    <w:rsid w:val="002848DE"/>
    <w:rsid w:val="00285B34"/>
    <w:rsid w:val="00286F50"/>
    <w:rsid w:val="00287072"/>
    <w:rsid w:val="0029003D"/>
    <w:rsid w:val="0029029C"/>
    <w:rsid w:val="00293561"/>
    <w:rsid w:val="002965F6"/>
    <w:rsid w:val="002972D6"/>
    <w:rsid w:val="002A0A9C"/>
    <w:rsid w:val="002A10E7"/>
    <w:rsid w:val="002A14B5"/>
    <w:rsid w:val="002A1888"/>
    <w:rsid w:val="002A1B72"/>
    <w:rsid w:val="002A3239"/>
    <w:rsid w:val="002A4132"/>
    <w:rsid w:val="002A4641"/>
    <w:rsid w:val="002A5443"/>
    <w:rsid w:val="002A5EB2"/>
    <w:rsid w:val="002A713D"/>
    <w:rsid w:val="002B2E24"/>
    <w:rsid w:val="002B4194"/>
    <w:rsid w:val="002B4659"/>
    <w:rsid w:val="002B5846"/>
    <w:rsid w:val="002B5EB4"/>
    <w:rsid w:val="002B628B"/>
    <w:rsid w:val="002B6875"/>
    <w:rsid w:val="002B7789"/>
    <w:rsid w:val="002B7A04"/>
    <w:rsid w:val="002C0DAC"/>
    <w:rsid w:val="002C119F"/>
    <w:rsid w:val="002C28F6"/>
    <w:rsid w:val="002C28FA"/>
    <w:rsid w:val="002C2E9D"/>
    <w:rsid w:val="002C6221"/>
    <w:rsid w:val="002D15A3"/>
    <w:rsid w:val="002D2665"/>
    <w:rsid w:val="002D3312"/>
    <w:rsid w:val="002E1309"/>
    <w:rsid w:val="002E2208"/>
    <w:rsid w:val="002E2C60"/>
    <w:rsid w:val="002E449F"/>
    <w:rsid w:val="002E6942"/>
    <w:rsid w:val="002E7180"/>
    <w:rsid w:val="002F37B1"/>
    <w:rsid w:val="002F53E8"/>
    <w:rsid w:val="002F64B7"/>
    <w:rsid w:val="002F691C"/>
    <w:rsid w:val="00300012"/>
    <w:rsid w:val="00300363"/>
    <w:rsid w:val="00300D78"/>
    <w:rsid w:val="0030161B"/>
    <w:rsid w:val="00301FE7"/>
    <w:rsid w:val="003021AC"/>
    <w:rsid w:val="003022C9"/>
    <w:rsid w:val="0030336C"/>
    <w:rsid w:val="00304E71"/>
    <w:rsid w:val="00310CD4"/>
    <w:rsid w:val="00312745"/>
    <w:rsid w:val="003133C9"/>
    <w:rsid w:val="003170C2"/>
    <w:rsid w:val="0031764E"/>
    <w:rsid w:val="00322305"/>
    <w:rsid w:val="00322651"/>
    <w:rsid w:val="00326679"/>
    <w:rsid w:val="003306DD"/>
    <w:rsid w:val="0033495C"/>
    <w:rsid w:val="0033569A"/>
    <w:rsid w:val="00337331"/>
    <w:rsid w:val="00337B91"/>
    <w:rsid w:val="0034035D"/>
    <w:rsid w:val="00340619"/>
    <w:rsid w:val="00340D7D"/>
    <w:rsid w:val="00341964"/>
    <w:rsid w:val="00341BC4"/>
    <w:rsid w:val="00343AD7"/>
    <w:rsid w:val="00343C7E"/>
    <w:rsid w:val="003444E0"/>
    <w:rsid w:val="0034536C"/>
    <w:rsid w:val="003462E6"/>
    <w:rsid w:val="0034783F"/>
    <w:rsid w:val="00351D4A"/>
    <w:rsid w:val="00352811"/>
    <w:rsid w:val="003564D3"/>
    <w:rsid w:val="003568E6"/>
    <w:rsid w:val="00361B54"/>
    <w:rsid w:val="00362779"/>
    <w:rsid w:val="00362A6F"/>
    <w:rsid w:val="00370C6D"/>
    <w:rsid w:val="00371DEA"/>
    <w:rsid w:val="00372D6C"/>
    <w:rsid w:val="00375C72"/>
    <w:rsid w:val="00376B56"/>
    <w:rsid w:val="00376F95"/>
    <w:rsid w:val="0037771C"/>
    <w:rsid w:val="00380CA7"/>
    <w:rsid w:val="00381EFC"/>
    <w:rsid w:val="00381F41"/>
    <w:rsid w:val="00386C78"/>
    <w:rsid w:val="003906A3"/>
    <w:rsid w:val="003936ED"/>
    <w:rsid w:val="003969F7"/>
    <w:rsid w:val="0039794D"/>
    <w:rsid w:val="003A0770"/>
    <w:rsid w:val="003A0B21"/>
    <w:rsid w:val="003A1E55"/>
    <w:rsid w:val="003A2821"/>
    <w:rsid w:val="003A28E0"/>
    <w:rsid w:val="003A5502"/>
    <w:rsid w:val="003A703B"/>
    <w:rsid w:val="003B084F"/>
    <w:rsid w:val="003B17BD"/>
    <w:rsid w:val="003B3F5C"/>
    <w:rsid w:val="003B42DB"/>
    <w:rsid w:val="003B564A"/>
    <w:rsid w:val="003B6B8D"/>
    <w:rsid w:val="003C1074"/>
    <w:rsid w:val="003C29A2"/>
    <w:rsid w:val="003C43DE"/>
    <w:rsid w:val="003C4623"/>
    <w:rsid w:val="003C499B"/>
    <w:rsid w:val="003C5876"/>
    <w:rsid w:val="003C6F5D"/>
    <w:rsid w:val="003D013E"/>
    <w:rsid w:val="003D2A51"/>
    <w:rsid w:val="003D6171"/>
    <w:rsid w:val="003D76AA"/>
    <w:rsid w:val="003D7EC8"/>
    <w:rsid w:val="003E00E6"/>
    <w:rsid w:val="003E4A8E"/>
    <w:rsid w:val="003E4CC9"/>
    <w:rsid w:val="003F0C6B"/>
    <w:rsid w:val="003F2A10"/>
    <w:rsid w:val="003F2EF1"/>
    <w:rsid w:val="003F6C40"/>
    <w:rsid w:val="003F71BC"/>
    <w:rsid w:val="003F7FA1"/>
    <w:rsid w:val="004000AA"/>
    <w:rsid w:val="0040209C"/>
    <w:rsid w:val="004031FC"/>
    <w:rsid w:val="004035CF"/>
    <w:rsid w:val="00404831"/>
    <w:rsid w:val="0041078F"/>
    <w:rsid w:val="004115FE"/>
    <w:rsid w:val="004122FD"/>
    <w:rsid w:val="004125AC"/>
    <w:rsid w:val="004128AA"/>
    <w:rsid w:val="00414360"/>
    <w:rsid w:val="00414D27"/>
    <w:rsid w:val="0041541A"/>
    <w:rsid w:val="00416248"/>
    <w:rsid w:val="004176AA"/>
    <w:rsid w:val="0042180C"/>
    <w:rsid w:val="004236F9"/>
    <w:rsid w:val="00425570"/>
    <w:rsid w:val="0043175D"/>
    <w:rsid w:val="00431DF1"/>
    <w:rsid w:val="00440148"/>
    <w:rsid w:val="00442A65"/>
    <w:rsid w:val="00443EF3"/>
    <w:rsid w:val="00444B06"/>
    <w:rsid w:val="0044568D"/>
    <w:rsid w:val="0044681A"/>
    <w:rsid w:val="00446B4E"/>
    <w:rsid w:val="00451D91"/>
    <w:rsid w:val="004523D6"/>
    <w:rsid w:val="00454097"/>
    <w:rsid w:val="00454EA2"/>
    <w:rsid w:val="00455211"/>
    <w:rsid w:val="00455829"/>
    <w:rsid w:val="0045761A"/>
    <w:rsid w:val="0046091E"/>
    <w:rsid w:val="0046272F"/>
    <w:rsid w:val="00465BCA"/>
    <w:rsid w:val="00466F58"/>
    <w:rsid w:val="004705A6"/>
    <w:rsid w:val="00471C80"/>
    <w:rsid w:val="00472D5D"/>
    <w:rsid w:val="004818D1"/>
    <w:rsid w:val="00483E9B"/>
    <w:rsid w:val="00484750"/>
    <w:rsid w:val="0048629E"/>
    <w:rsid w:val="004864D4"/>
    <w:rsid w:val="0049181C"/>
    <w:rsid w:val="00491D92"/>
    <w:rsid w:val="00494ADA"/>
    <w:rsid w:val="00496950"/>
    <w:rsid w:val="0049754D"/>
    <w:rsid w:val="00497A99"/>
    <w:rsid w:val="004A2F3D"/>
    <w:rsid w:val="004A421A"/>
    <w:rsid w:val="004B04FB"/>
    <w:rsid w:val="004B0C32"/>
    <w:rsid w:val="004B35EA"/>
    <w:rsid w:val="004B4E00"/>
    <w:rsid w:val="004B51A1"/>
    <w:rsid w:val="004B6070"/>
    <w:rsid w:val="004B7E21"/>
    <w:rsid w:val="004C0308"/>
    <w:rsid w:val="004C0413"/>
    <w:rsid w:val="004C0A2B"/>
    <w:rsid w:val="004C16E8"/>
    <w:rsid w:val="004C534D"/>
    <w:rsid w:val="004C59D7"/>
    <w:rsid w:val="004C6D14"/>
    <w:rsid w:val="004C758A"/>
    <w:rsid w:val="004D3643"/>
    <w:rsid w:val="004D36D3"/>
    <w:rsid w:val="004D68A5"/>
    <w:rsid w:val="004D6F80"/>
    <w:rsid w:val="004D71B9"/>
    <w:rsid w:val="004E0855"/>
    <w:rsid w:val="004E097D"/>
    <w:rsid w:val="004E17F7"/>
    <w:rsid w:val="004E1904"/>
    <w:rsid w:val="004E2694"/>
    <w:rsid w:val="004E37C0"/>
    <w:rsid w:val="004E61D1"/>
    <w:rsid w:val="004E72CF"/>
    <w:rsid w:val="004F0373"/>
    <w:rsid w:val="004F0A28"/>
    <w:rsid w:val="004F0ACB"/>
    <w:rsid w:val="004F525A"/>
    <w:rsid w:val="004F5C60"/>
    <w:rsid w:val="004F6B4E"/>
    <w:rsid w:val="004F7724"/>
    <w:rsid w:val="00500262"/>
    <w:rsid w:val="0050104F"/>
    <w:rsid w:val="00502778"/>
    <w:rsid w:val="00503CD5"/>
    <w:rsid w:val="0050418A"/>
    <w:rsid w:val="00504D80"/>
    <w:rsid w:val="00510C6E"/>
    <w:rsid w:val="0051203C"/>
    <w:rsid w:val="00512495"/>
    <w:rsid w:val="00513835"/>
    <w:rsid w:val="00513B1B"/>
    <w:rsid w:val="0051593E"/>
    <w:rsid w:val="00516C55"/>
    <w:rsid w:val="00517422"/>
    <w:rsid w:val="00521C54"/>
    <w:rsid w:val="00523E28"/>
    <w:rsid w:val="00524700"/>
    <w:rsid w:val="00525260"/>
    <w:rsid w:val="00525872"/>
    <w:rsid w:val="00525D21"/>
    <w:rsid w:val="005262F5"/>
    <w:rsid w:val="00526406"/>
    <w:rsid w:val="005332CC"/>
    <w:rsid w:val="00534FD3"/>
    <w:rsid w:val="0053515D"/>
    <w:rsid w:val="00535D2E"/>
    <w:rsid w:val="005366E8"/>
    <w:rsid w:val="00537629"/>
    <w:rsid w:val="00537BBD"/>
    <w:rsid w:val="00540F1E"/>
    <w:rsid w:val="005433C2"/>
    <w:rsid w:val="005447EC"/>
    <w:rsid w:val="00545A2A"/>
    <w:rsid w:val="00547ADB"/>
    <w:rsid w:val="00550ACB"/>
    <w:rsid w:val="00550ECF"/>
    <w:rsid w:val="005514B4"/>
    <w:rsid w:val="00553383"/>
    <w:rsid w:val="00555975"/>
    <w:rsid w:val="00555ADD"/>
    <w:rsid w:val="00557E1D"/>
    <w:rsid w:val="00560B2A"/>
    <w:rsid w:val="00562B72"/>
    <w:rsid w:val="0056339E"/>
    <w:rsid w:val="0056539A"/>
    <w:rsid w:val="00565708"/>
    <w:rsid w:val="00565DF4"/>
    <w:rsid w:val="00566525"/>
    <w:rsid w:val="005670A9"/>
    <w:rsid w:val="0057068A"/>
    <w:rsid w:val="00570923"/>
    <w:rsid w:val="00570DA2"/>
    <w:rsid w:val="005712F8"/>
    <w:rsid w:val="00572F42"/>
    <w:rsid w:val="00573730"/>
    <w:rsid w:val="0057420D"/>
    <w:rsid w:val="005759C6"/>
    <w:rsid w:val="005760C3"/>
    <w:rsid w:val="00577AEF"/>
    <w:rsid w:val="00580E3C"/>
    <w:rsid w:val="00581055"/>
    <w:rsid w:val="005835F8"/>
    <w:rsid w:val="00584D8B"/>
    <w:rsid w:val="00585BAE"/>
    <w:rsid w:val="00586822"/>
    <w:rsid w:val="005923C3"/>
    <w:rsid w:val="00595F04"/>
    <w:rsid w:val="0059748D"/>
    <w:rsid w:val="005A0C49"/>
    <w:rsid w:val="005A1483"/>
    <w:rsid w:val="005A2065"/>
    <w:rsid w:val="005A2C86"/>
    <w:rsid w:val="005A3F17"/>
    <w:rsid w:val="005A5C2C"/>
    <w:rsid w:val="005A73E4"/>
    <w:rsid w:val="005B0687"/>
    <w:rsid w:val="005B2FE5"/>
    <w:rsid w:val="005B4FE6"/>
    <w:rsid w:val="005C21A8"/>
    <w:rsid w:val="005C3D0C"/>
    <w:rsid w:val="005C614E"/>
    <w:rsid w:val="005C6495"/>
    <w:rsid w:val="005C79F3"/>
    <w:rsid w:val="005C7A18"/>
    <w:rsid w:val="005C7C63"/>
    <w:rsid w:val="005D1B94"/>
    <w:rsid w:val="005D2AEB"/>
    <w:rsid w:val="005D6B3D"/>
    <w:rsid w:val="005D7360"/>
    <w:rsid w:val="005D79E1"/>
    <w:rsid w:val="005E13F7"/>
    <w:rsid w:val="005E2DEA"/>
    <w:rsid w:val="005E6207"/>
    <w:rsid w:val="005E653E"/>
    <w:rsid w:val="005E66FF"/>
    <w:rsid w:val="005E7BED"/>
    <w:rsid w:val="005F0B5C"/>
    <w:rsid w:val="005F0E0D"/>
    <w:rsid w:val="005F15D6"/>
    <w:rsid w:val="005F2C59"/>
    <w:rsid w:val="005F605A"/>
    <w:rsid w:val="005F73CB"/>
    <w:rsid w:val="005F73DE"/>
    <w:rsid w:val="00600C06"/>
    <w:rsid w:val="00601F38"/>
    <w:rsid w:val="00604A4E"/>
    <w:rsid w:val="00605081"/>
    <w:rsid w:val="00605EE2"/>
    <w:rsid w:val="006107DF"/>
    <w:rsid w:val="00610BC9"/>
    <w:rsid w:val="00611DB3"/>
    <w:rsid w:val="00613295"/>
    <w:rsid w:val="00614363"/>
    <w:rsid w:val="00615C57"/>
    <w:rsid w:val="006160FE"/>
    <w:rsid w:val="00620084"/>
    <w:rsid w:val="0062052C"/>
    <w:rsid w:val="00620B26"/>
    <w:rsid w:val="006215A2"/>
    <w:rsid w:val="0062240A"/>
    <w:rsid w:val="006225AE"/>
    <w:rsid w:val="0062357A"/>
    <w:rsid w:val="00624CE8"/>
    <w:rsid w:val="00624E86"/>
    <w:rsid w:val="0062726F"/>
    <w:rsid w:val="00630A2A"/>
    <w:rsid w:val="006334F5"/>
    <w:rsid w:val="006336F3"/>
    <w:rsid w:val="00634F77"/>
    <w:rsid w:val="006358FD"/>
    <w:rsid w:val="00635911"/>
    <w:rsid w:val="0064083E"/>
    <w:rsid w:val="00642786"/>
    <w:rsid w:val="00646263"/>
    <w:rsid w:val="0064627F"/>
    <w:rsid w:val="0064655F"/>
    <w:rsid w:val="00647326"/>
    <w:rsid w:val="00651FE5"/>
    <w:rsid w:val="0065293E"/>
    <w:rsid w:val="00654115"/>
    <w:rsid w:val="006549F4"/>
    <w:rsid w:val="00654B2B"/>
    <w:rsid w:val="00655523"/>
    <w:rsid w:val="00656DB4"/>
    <w:rsid w:val="0066243D"/>
    <w:rsid w:val="0066248D"/>
    <w:rsid w:val="0066252C"/>
    <w:rsid w:val="00664916"/>
    <w:rsid w:val="0066537F"/>
    <w:rsid w:val="00671CD7"/>
    <w:rsid w:val="006731B8"/>
    <w:rsid w:val="00673728"/>
    <w:rsid w:val="006747FF"/>
    <w:rsid w:val="00675D55"/>
    <w:rsid w:val="0067704F"/>
    <w:rsid w:val="00677AC6"/>
    <w:rsid w:val="00681F14"/>
    <w:rsid w:val="006826FF"/>
    <w:rsid w:val="00683AF1"/>
    <w:rsid w:val="0068591B"/>
    <w:rsid w:val="006875FB"/>
    <w:rsid w:val="006905AA"/>
    <w:rsid w:val="00690CA6"/>
    <w:rsid w:val="0069156B"/>
    <w:rsid w:val="00692543"/>
    <w:rsid w:val="006926A6"/>
    <w:rsid w:val="0069349A"/>
    <w:rsid w:val="00693E47"/>
    <w:rsid w:val="00696431"/>
    <w:rsid w:val="006A0987"/>
    <w:rsid w:val="006A2D41"/>
    <w:rsid w:val="006A59AE"/>
    <w:rsid w:val="006A59F8"/>
    <w:rsid w:val="006A7104"/>
    <w:rsid w:val="006A73E6"/>
    <w:rsid w:val="006B0508"/>
    <w:rsid w:val="006B20D8"/>
    <w:rsid w:val="006B3BB3"/>
    <w:rsid w:val="006B4488"/>
    <w:rsid w:val="006B65F6"/>
    <w:rsid w:val="006C03A9"/>
    <w:rsid w:val="006C0FB5"/>
    <w:rsid w:val="006C1AA2"/>
    <w:rsid w:val="006C29CD"/>
    <w:rsid w:val="006C2F52"/>
    <w:rsid w:val="006C3A9C"/>
    <w:rsid w:val="006C4007"/>
    <w:rsid w:val="006C438B"/>
    <w:rsid w:val="006C53B1"/>
    <w:rsid w:val="006C5F29"/>
    <w:rsid w:val="006C6F4A"/>
    <w:rsid w:val="006D03F8"/>
    <w:rsid w:val="006D0FC7"/>
    <w:rsid w:val="006D19E7"/>
    <w:rsid w:val="006D2E40"/>
    <w:rsid w:val="006D448B"/>
    <w:rsid w:val="006D7D0E"/>
    <w:rsid w:val="006E00A8"/>
    <w:rsid w:val="006E0A8A"/>
    <w:rsid w:val="006E0D8A"/>
    <w:rsid w:val="006E2350"/>
    <w:rsid w:val="006E3DF8"/>
    <w:rsid w:val="006E4832"/>
    <w:rsid w:val="006E5615"/>
    <w:rsid w:val="006E5626"/>
    <w:rsid w:val="006E5951"/>
    <w:rsid w:val="006F2EA3"/>
    <w:rsid w:val="006F7D72"/>
    <w:rsid w:val="006F7FB6"/>
    <w:rsid w:val="006F7FBC"/>
    <w:rsid w:val="007012A5"/>
    <w:rsid w:val="007045EE"/>
    <w:rsid w:val="00705B05"/>
    <w:rsid w:val="0070670E"/>
    <w:rsid w:val="0070676E"/>
    <w:rsid w:val="00706A9D"/>
    <w:rsid w:val="00706FD8"/>
    <w:rsid w:val="00710CC9"/>
    <w:rsid w:val="0071575F"/>
    <w:rsid w:val="00715A3F"/>
    <w:rsid w:val="00716C34"/>
    <w:rsid w:val="0071739E"/>
    <w:rsid w:val="00717EB9"/>
    <w:rsid w:val="0072047A"/>
    <w:rsid w:val="00722AC6"/>
    <w:rsid w:val="00722C85"/>
    <w:rsid w:val="0072398B"/>
    <w:rsid w:val="00724FE5"/>
    <w:rsid w:val="00727501"/>
    <w:rsid w:val="00730161"/>
    <w:rsid w:val="007308AD"/>
    <w:rsid w:val="007377CD"/>
    <w:rsid w:val="00742329"/>
    <w:rsid w:val="00742514"/>
    <w:rsid w:val="00742654"/>
    <w:rsid w:val="00744804"/>
    <w:rsid w:val="00744A0B"/>
    <w:rsid w:val="00745F22"/>
    <w:rsid w:val="007474D8"/>
    <w:rsid w:val="007479C8"/>
    <w:rsid w:val="00747B3B"/>
    <w:rsid w:val="0075058C"/>
    <w:rsid w:val="0075234B"/>
    <w:rsid w:val="007544A1"/>
    <w:rsid w:val="00754B68"/>
    <w:rsid w:val="00756633"/>
    <w:rsid w:val="00760AE1"/>
    <w:rsid w:val="00761615"/>
    <w:rsid w:val="00761A18"/>
    <w:rsid w:val="00761C1F"/>
    <w:rsid w:val="00764222"/>
    <w:rsid w:val="00765EC6"/>
    <w:rsid w:val="007670B6"/>
    <w:rsid w:val="0077148E"/>
    <w:rsid w:val="00771A72"/>
    <w:rsid w:val="00772ADC"/>
    <w:rsid w:val="00772F00"/>
    <w:rsid w:val="00774A82"/>
    <w:rsid w:val="00775C73"/>
    <w:rsid w:val="00775C87"/>
    <w:rsid w:val="00781A68"/>
    <w:rsid w:val="00781AD3"/>
    <w:rsid w:val="00781EA9"/>
    <w:rsid w:val="00782068"/>
    <w:rsid w:val="007838C4"/>
    <w:rsid w:val="00786042"/>
    <w:rsid w:val="0078778A"/>
    <w:rsid w:val="00787B7A"/>
    <w:rsid w:val="00790AB4"/>
    <w:rsid w:val="007920A9"/>
    <w:rsid w:val="00792867"/>
    <w:rsid w:val="00793B9B"/>
    <w:rsid w:val="00795A5A"/>
    <w:rsid w:val="00797585"/>
    <w:rsid w:val="007A04B6"/>
    <w:rsid w:val="007A0508"/>
    <w:rsid w:val="007A06E8"/>
    <w:rsid w:val="007A3DAB"/>
    <w:rsid w:val="007A421B"/>
    <w:rsid w:val="007A4CD8"/>
    <w:rsid w:val="007B0F21"/>
    <w:rsid w:val="007B0FF4"/>
    <w:rsid w:val="007B192E"/>
    <w:rsid w:val="007B1F86"/>
    <w:rsid w:val="007B281F"/>
    <w:rsid w:val="007B3751"/>
    <w:rsid w:val="007B3F1B"/>
    <w:rsid w:val="007B5623"/>
    <w:rsid w:val="007B7184"/>
    <w:rsid w:val="007D04A5"/>
    <w:rsid w:val="007D082C"/>
    <w:rsid w:val="007D2102"/>
    <w:rsid w:val="007D7936"/>
    <w:rsid w:val="007D7FF1"/>
    <w:rsid w:val="007E27BA"/>
    <w:rsid w:val="007E3364"/>
    <w:rsid w:val="007E4EB3"/>
    <w:rsid w:val="007E5AEB"/>
    <w:rsid w:val="007E6128"/>
    <w:rsid w:val="007E70EF"/>
    <w:rsid w:val="007F2CBE"/>
    <w:rsid w:val="007F3730"/>
    <w:rsid w:val="007F6FB6"/>
    <w:rsid w:val="0080076B"/>
    <w:rsid w:val="008035C0"/>
    <w:rsid w:val="008110D2"/>
    <w:rsid w:val="00820789"/>
    <w:rsid w:val="00820B66"/>
    <w:rsid w:val="008213BA"/>
    <w:rsid w:val="00821ADD"/>
    <w:rsid w:val="0082395F"/>
    <w:rsid w:val="00827B1A"/>
    <w:rsid w:val="008307AA"/>
    <w:rsid w:val="00830C39"/>
    <w:rsid w:val="00831A0F"/>
    <w:rsid w:val="00831C0A"/>
    <w:rsid w:val="00836A09"/>
    <w:rsid w:val="00836CF2"/>
    <w:rsid w:val="00837C91"/>
    <w:rsid w:val="0084059B"/>
    <w:rsid w:val="00842315"/>
    <w:rsid w:val="00842B61"/>
    <w:rsid w:val="0084428E"/>
    <w:rsid w:val="008455F6"/>
    <w:rsid w:val="00845E9B"/>
    <w:rsid w:val="00846B8A"/>
    <w:rsid w:val="00847F89"/>
    <w:rsid w:val="00851B13"/>
    <w:rsid w:val="00852434"/>
    <w:rsid w:val="00853955"/>
    <w:rsid w:val="00853A9D"/>
    <w:rsid w:val="00855809"/>
    <w:rsid w:val="00855B28"/>
    <w:rsid w:val="0085731E"/>
    <w:rsid w:val="00860F65"/>
    <w:rsid w:val="008628FC"/>
    <w:rsid w:val="008655F3"/>
    <w:rsid w:val="00866137"/>
    <w:rsid w:val="00866DAF"/>
    <w:rsid w:val="008672F4"/>
    <w:rsid w:val="00867745"/>
    <w:rsid w:val="00871058"/>
    <w:rsid w:val="008745DD"/>
    <w:rsid w:val="008747E6"/>
    <w:rsid w:val="0087562C"/>
    <w:rsid w:val="008762CF"/>
    <w:rsid w:val="00876F66"/>
    <w:rsid w:val="00877283"/>
    <w:rsid w:val="00877B63"/>
    <w:rsid w:val="00877BAF"/>
    <w:rsid w:val="00877EB0"/>
    <w:rsid w:val="00880155"/>
    <w:rsid w:val="00880540"/>
    <w:rsid w:val="00880A29"/>
    <w:rsid w:val="00880D3F"/>
    <w:rsid w:val="008819D2"/>
    <w:rsid w:val="00883CBF"/>
    <w:rsid w:val="00884394"/>
    <w:rsid w:val="00884A9B"/>
    <w:rsid w:val="00887984"/>
    <w:rsid w:val="008905A7"/>
    <w:rsid w:val="008915D2"/>
    <w:rsid w:val="00892058"/>
    <w:rsid w:val="00892D2C"/>
    <w:rsid w:val="00893E4B"/>
    <w:rsid w:val="00894380"/>
    <w:rsid w:val="00894C1D"/>
    <w:rsid w:val="008970A5"/>
    <w:rsid w:val="00897F47"/>
    <w:rsid w:val="008A0860"/>
    <w:rsid w:val="008A11FF"/>
    <w:rsid w:val="008A2866"/>
    <w:rsid w:val="008A2899"/>
    <w:rsid w:val="008A5241"/>
    <w:rsid w:val="008A5B66"/>
    <w:rsid w:val="008A747B"/>
    <w:rsid w:val="008B070B"/>
    <w:rsid w:val="008B5293"/>
    <w:rsid w:val="008B7B67"/>
    <w:rsid w:val="008C10FA"/>
    <w:rsid w:val="008C5670"/>
    <w:rsid w:val="008C6C48"/>
    <w:rsid w:val="008D0290"/>
    <w:rsid w:val="008D102E"/>
    <w:rsid w:val="008D2154"/>
    <w:rsid w:val="008D45FA"/>
    <w:rsid w:val="008D5999"/>
    <w:rsid w:val="008D65E2"/>
    <w:rsid w:val="008E2002"/>
    <w:rsid w:val="008E2885"/>
    <w:rsid w:val="008E45B8"/>
    <w:rsid w:val="008E543C"/>
    <w:rsid w:val="008E6630"/>
    <w:rsid w:val="008F1A1F"/>
    <w:rsid w:val="008F25A4"/>
    <w:rsid w:val="008F2F3D"/>
    <w:rsid w:val="008F384E"/>
    <w:rsid w:val="008F3A6A"/>
    <w:rsid w:val="008F3CF9"/>
    <w:rsid w:val="008F54F6"/>
    <w:rsid w:val="008F7B42"/>
    <w:rsid w:val="008F7D96"/>
    <w:rsid w:val="009002B9"/>
    <w:rsid w:val="00900E82"/>
    <w:rsid w:val="009018A1"/>
    <w:rsid w:val="009057DF"/>
    <w:rsid w:val="0090580E"/>
    <w:rsid w:val="00907F58"/>
    <w:rsid w:val="009108E1"/>
    <w:rsid w:val="00910E48"/>
    <w:rsid w:val="00910FA6"/>
    <w:rsid w:val="009155C4"/>
    <w:rsid w:val="0091596F"/>
    <w:rsid w:val="00916E64"/>
    <w:rsid w:val="00917ED3"/>
    <w:rsid w:val="00920740"/>
    <w:rsid w:val="009221E7"/>
    <w:rsid w:val="0092285F"/>
    <w:rsid w:val="009255E5"/>
    <w:rsid w:val="009256A8"/>
    <w:rsid w:val="00927CC5"/>
    <w:rsid w:val="00931646"/>
    <w:rsid w:val="00931686"/>
    <w:rsid w:val="0093214D"/>
    <w:rsid w:val="00932B54"/>
    <w:rsid w:val="00933ECB"/>
    <w:rsid w:val="00934FE8"/>
    <w:rsid w:val="0093679E"/>
    <w:rsid w:val="00941663"/>
    <w:rsid w:val="00941BE0"/>
    <w:rsid w:val="009437DB"/>
    <w:rsid w:val="009447F4"/>
    <w:rsid w:val="00951D5D"/>
    <w:rsid w:val="00952C9F"/>
    <w:rsid w:val="00953CC4"/>
    <w:rsid w:val="00954EFC"/>
    <w:rsid w:val="00957086"/>
    <w:rsid w:val="0096033E"/>
    <w:rsid w:val="0096035F"/>
    <w:rsid w:val="009610A3"/>
    <w:rsid w:val="009612DB"/>
    <w:rsid w:val="009617E7"/>
    <w:rsid w:val="00964865"/>
    <w:rsid w:val="00965099"/>
    <w:rsid w:val="00966DBD"/>
    <w:rsid w:val="00967786"/>
    <w:rsid w:val="00970FF6"/>
    <w:rsid w:val="00971444"/>
    <w:rsid w:val="009716B1"/>
    <w:rsid w:val="0097187E"/>
    <w:rsid w:val="009718C4"/>
    <w:rsid w:val="00972EBC"/>
    <w:rsid w:val="00975C76"/>
    <w:rsid w:val="00976E92"/>
    <w:rsid w:val="00977741"/>
    <w:rsid w:val="009834D6"/>
    <w:rsid w:val="00984D4B"/>
    <w:rsid w:val="00986D6C"/>
    <w:rsid w:val="009922E9"/>
    <w:rsid w:val="009929E2"/>
    <w:rsid w:val="00993B29"/>
    <w:rsid w:val="00994AE9"/>
    <w:rsid w:val="009A099A"/>
    <w:rsid w:val="009A2D06"/>
    <w:rsid w:val="009A2FE3"/>
    <w:rsid w:val="009A3F15"/>
    <w:rsid w:val="009A4682"/>
    <w:rsid w:val="009B0A82"/>
    <w:rsid w:val="009B0F50"/>
    <w:rsid w:val="009B152F"/>
    <w:rsid w:val="009B162C"/>
    <w:rsid w:val="009B5D9B"/>
    <w:rsid w:val="009B6A62"/>
    <w:rsid w:val="009C0AA7"/>
    <w:rsid w:val="009C5E17"/>
    <w:rsid w:val="009C6DC8"/>
    <w:rsid w:val="009C75B9"/>
    <w:rsid w:val="009D058B"/>
    <w:rsid w:val="009D0696"/>
    <w:rsid w:val="009D1F3F"/>
    <w:rsid w:val="009D351F"/>
    <w:rsid w:val="009D57F0"/>
    <w:rsid w:val="009D64A0"/>
    <w:rsid w:val="009D7055"/>
    <w:rsid w:val="009E06CA"/>
    <w:rsid w:val="009E10B1"/>
    <w:rsid w:val="009E2078"/>
    <w:rsid w:val="009E3B6D"/>
    <w:rsid w:val="009E62E6"/>
    <w:rsid w:val="009E69DE"/>
    <w:rsid w:val="009E6D27"/>
    <w:rsid w:val="009E71A9"/>
    <w:rsid w:val="009E7B33"/>
    <w:rsid w:val="009E7F57"/>
    <w:rsid w:val="009F0E40"/>
    <w:rsid w:val="009F351A"/>
    <w:rsid w:val="009F508F"/>
    <w:rsid w:val="009F5124"/>
    <w:rsid w:val="00A0105C"/>
    <w:rsid w:val="00A030F1"/>
    <w:rsid w:val="00A03F55"/>
    <w:rsid w:val="00A042AB"/>
    <w:rsid w:val="00A050ED"/>
    <w:rsid w:val="00A06A87"/>
    <w:rsid w:val="00A06F89"/>
    <w:rsid w:val="00A07C07"/>
    <w:rsid w:val="00A10094"/>
    <w:rsid w:val="00A103F4"/>
    <w:rsid w:val="00A1193A"/>
    <w:rsid w:val="00A140DE"/>
    <w:rsid w:val="00A14925"/>
    <w:rsid w:val="00A173E3"/>
    <w:rsid w:val="00A20ADC"/>
    <w:rsid w:val="00A21A5E"/>
    <w:rsid w:val="00A21DDD"/>
    <w:rsid w:val="00A23CFD"/>
    <w:rsid w:val="00A25DD6"/>
    <w:rsid w:val="00A27329"/>
    <w:rsid w:val="00A3005F"/>
    <w:rsid w:val="00A3233F"/>
    <w:rsid w:val="00A32C88"/>
    <w:rsid w:val="00A37C0B"/>
    <w:rsid w:val="00A4228C"/>
    <w:rsid w:val="00A46E8B"/>
    <w:rsid w:val="00A5104A"/>
    <w:rsid w:val="00A5223F"/>
    <w:rsid w:val="00A52664"/>
    <w:rsid w:val="00A52E11"/>
    <w:rsid w:val="00A5368A"/>
    <w:rsid w:val="00A55250"/>
    <w:rsid w:val="00A5624D"/>
    <w:rsid w:val="00A5637A"/>
    <w:rsid w:val="00A60199"/>
    <w:rsid w:val="00A60E75"/>
    <w:rsid w:val="00A62F72"/>
    <w:rsid w:val="00A6493B"/>
    <w:rsid w:val="00A656D6"/>
    <w:rsid w:val="00A70A34"/>
    <w:rsid w:val="00A71CF0"/>
    <w:rsid w:val="00A74EAC"/>
    <w:rsid w:val="00A75D0A"/>
    <w:rsid w:val="00A7608C"/>
    <w:rsid w:val="00A83447"/>
    <w:rsid w:val="00A849B5"/>
    <w:rsid w:val="00A856EE"/>
    <w:rsid w:val="00A85A1F"/>
    <w:rsid w:val="00A86D2D"/>
    <w:rsid w:val="00A93E70"/>
    <w:rsid w:val="00A951D5"/>
    <w:rsid w:val="00A96B61"/>
    <w:rsid w:val="00A974A3"/>
    <w:rsid w:val="00AA0889"/>
    <w:rsid w:val="00AA0A84"/>
    <w:rsid w:val="00AA1179"/>
    <w:rsid w:val="00AA211C"/>
    <w:rsid w:val="00AA3B1F"/>
    <w:rsid w:val="00AA49B5"/>
    <w:rsid w:val="00AA63EC"/>
    <w:rsid w:val="00AA7276"/>
    <w:rsid w:val="00AB0391"/>
    <w:rsid w:val="00AB04CA"/>
    <w:rsid w:val="00AB0D1C"/>
    <w:rsid w:val="00AB11A5"/>
    <w:rsid w:val="00AB17A4"/>
    <w:rsid w:val="00AB17C1"/>
    <w:rsid w:val="00AB1EE5"/>
    <w:rsid w:val="00AB2A6C"/>
    <w:rsid w:val="00AB2EC0"/>
    <w:rsid w:val="00AB4CB4"/>
    <w:rsid w:val="00AB5446"/>
    <w:rsid w:val="00AB59E9"/>
    <w:rsid w:val="00AB65C5"/>
    <w:rsid w:val="00AB7CE3"/>
    <w:rsid w:val="00AC29B9"/>
    <w:rsid w:val="00AC4CEC"/>
    <w:rsid w:val="00AC6374"/>
    <w:rsid w:val="00AC638A"/>
    <w:rsid w:val="00AC712E"/>
    <w:rsid w:val="00AC7704"/>
    <w:rsid w:val="00AD0796"/>
    <w:rsid w:val="00AD13AB"/>
    <w:rsid w:val="00AD146D"/>
    <w:rsid w:val="00AD2464"/>
    <w:rsid w:val="00AD36B2"/>
    <w:rsid w:val="00AD3CC4"/>
    <w:rsid w:val="00AD64A1"/>
    <w:rsid w:val="00AD6E3E"/>
    <w:rsid w:val="00AD7D26"/>
    <w:rsid w:val="00AE25E1"/>
    <w:rsid w:val="00AE3858"/>
    <w:rsid w:val="00AF00DA"/>
    <w:rsid w:val="00AF3D14"/>
    <w:rsid w:val="00AF5C14"/>
    <w:rsid w:val="00B013C7"/>
    <w:rsid w:val="00B02460"/>
    <w:rsid w:val="00B02FB8"/>
    <w:rsid w:val="00B07C46"/>
    <w:rsid w:val="00B07D3A"/>
    <w:rsid w:val="00B07FAB"/>
    <w:rsid w:val="00B129D4"/>
    <w:rsid w:val="00B13315"/>
    <w:rsid w:val="00B141DF"/>
    <w:rsid w:val="00B149EC"/>
    <w:rsid w:val="00B17E93"/>
    <w:rsid w:val="00B22C96"/>
    <w:rsid w:val="00B24E17"/>
    <w:rsid w:val="00B24F9D"/>
    <w:rsid w:val="00B3156A"/>
    <w:rsid w:val="00B316DE"/>
    <w:rsid w:val="00B327FF"/>
    <w:rsid w:val="00B33D0D"/>
    <w:rsid w:val="00B3573C"/>
    <w:rsid w:val="00B373CE"/>
    <w:rsid w:val="00B37824"/>
    <w:rsid w:val="00B400AD"/>
    <w:rsid w:val="00B40754"/>
    <w:rsid w:val="00B417CB"/>
    <w:rsid w:val="00B44D01"/>
    <w:rsid w:val="00B44F4E"/>
    <w:rsid w:val="00B44FFE"/>
    <w:rsid w:val="00B46E6F"/>
    <w:rsid w:val="00B508A1"/>
    <w:rsid w:val="00B512BF"/>
    <w:rsid w:val="00B51620"/>
    <w:rsid w:val="00B51857"/>
    <w:rsid w:val="00B51983"/>
    <w:rsid w:val="00B51E8D"/>
    <w:rsid w:val="00B524BC"/>
    <w:rsid w:val="00B52639"/>
    <w:rsid w:val="00B527D2"/>
    <w:rsid w:val="00B54318"/>
    <w:rsid w:val="00B57581"/>
    <w:rsid w:val="00B61E24"/>
    <w:rsid w:val="00B63643"/>
    <w:rsid w:val="00B6438B"/>
    <w:rsid w:val="00B66863"/>
    <w:rsid w:val="00B7085A"/>
    <w:rsid w:val="00B717F5"/>
    <w:rsid w:val="00B73823"/>
    <w:rsid w:val="00B76EDE"/>
    <w:rsid w:val="00B77F6E"/>
    <w:rsid w:val="00B82A9B"/>
    <w:rsid w:val="00B87F68"/>
    <w:rsid w:val="00B90816"/>
    <w:rsid w:val="00B9216D"/>
    <w:rsid w:val="00B92CE5"/>
    <w:rsid w:val="00B93E5E"/>
    <w:rsid w:val="00B94300"/>
    <w:rsid w:val="00B94583"/>
    <w:rsid w:val="00B9576D"/>
    <w:rsid w:val="00BA023F"/>
    <w:rsid w:val="00BA0A8D"/>
    <w:rsid w:val="00BB16B4"/>
    <w:rsid w:val="00BB4AF8"/>
    <w:rsid w:val="00BB6B88"/>
    <w:rsid w:val="00BB7560"/>
    <w:rsid w:val="00BC0597"/>
    <w:rsid w:val="00BC05BE"/>
    <w:rsid w:val="00BC12FC"/>
    <w:rsid w:val="00BC318E"/>
    <w:rsid w:val="00BC352E"/>
    <w:rsid w:val="00BC3CE1"/>
    <w:rsid w:val="00BC447F"/>
    <w:rsid w:val="00BC5EE1"/>
    <w:rsid w:val="00BC7820"/>
    <w:rsid w:val="00BC79CD"/>
    <w:rsid w:val="00BD7014"/>
    <w:rsid w:val="00BE0821"/>
    <w:rsid w:val="00BE0A3E"/>
    <w:rsid w:val="00BE242D"/>
    <w:rsid w:val="00BE3360"/>
    <w:rsid w:val="00BE407B"/>
    <w:rsid w:val="00BE53B8"/>
    <w:rsid w:val="00BE6090"/>
    <w:rsid w:val="00BE7EB5"/>
    <w:rsid w:val="00BF2A9F"/>
    <w:rsid w:val="00BF7746"/>
    <w:rsid w:val="00C018BB"/>
    <w:rsid w:val="00C0263F"/>
    <w:rsid w:val="00C03089"/>
    <w:rsid w:val="00C038B7"/>
    <w:rsid w:val="00C05327"/>
    <w:rsid w:val="00C062BD"/>
    <w:rsid w:val="00C06E33"/>
    <w:rsid w:val="00C0768F"/>
    <w:rsid w:val="00C07ECB"/>
    <w:rsid w:val="00C11858"/>
    <w:rsid w:val="00C13FD1"/>
    <w:rsid w:val="00C16A1C"/>
    <w:rsid w:val="00C2523F"/>
    <w:rsid w:val="00C27B94"/>
    <w:rsid w:val="00C30BD9"/>
    <w:rsid w:val="00C31FA7"/>
    <w:rsid w:val="00C32320"/>
    <w:rsid w:val="00C33484"/>
    <w:rsid w:val="00C363C7"/>
    <w:rsid w:val="00C36FBF"/>
    <w:rsid w:val="00C4234E"/>
    <w:rsid w:val="00C431B0"/>
    <w:rsid w:val="00C45252"/>
    <w:rsid w:val="00C50084"/>
    <w:rsid w:val="00C501F0"/>
    <w:rsid w:val="00C51507"/>
    <w:rsid w:val="00C51E80"/>
    <w:rsid w:val="00C51F53"/>
    <w:rsid w:val="00C542F0"/>
    <w:rsid w:val="00C564A4"/>
    <w:rsid w:val="00C6051F"/>
    <w:rsid w:val="00C60D53"/>
    <w:rsid w:val="00C62B35"/>
    <w:rsid w:val="00C64DCF"/>
    <w:rsid w:val="00C65005"/>
    <w:rsid w:val="00C651E9"/>
    <w:rsid w:val="00C714F3"/>
    <w:rsid w:val="00C71F3A"/>
    <w:rsid w:val="00C740B3"/>
    <w:rsid w:val="00C74731"/>
    <w:rsid w:val="00C77257"/>
    <w:rsid w:val="00C77CFC"/>
    <w:rsid w:val="00C8017F"/>
    <w:rsid w:val="00C81727"/>
    <w:rsid w:val="00C8383F"/>
    <w:rsid w:val="00C862F9"/>
    <w:rsid w:val="00C8675E"/>
    <w:rsid w:val="00C87395"/>
    <w:rsid w:val="00C877C2"/>
    <w:rsid w:val="00C9073A"/>
    <w:rsid w:val="00C92306"/>
    <w:rsid w:val="00C92E22"/>
    <w:rsid w:val="00C93E1D"/>
    <w:rsid w:val="00C956BF"/>
    <w:rsid w:val="00C96CE9"/>
    <w:rsid w:val="00C97A64"/>
    <w:rsid w:val="00C97AA4"/>
    <w:rsid w:val="00CA275D"/>
    <w:rsid w:val="00CA2B22"/>
    <w:rsid w:val="00CA5C1B"/>
    <w:rsid w:val="00CA7D49"/>
    <w:rsid w:val="00CB0FD7"/>
    <w:rsid w:val="00CB2AF1"/>
    <w:rsid w:val="00CB2E9E"/>
    <w:rsid w:val="00CB4B53"/>
    <w:rsid w:val="00CB771A"/>
    <w:rsid w:val="00CC057B"/>
    <w:rsid w:val="00CC0BD9"/>
    <w:rsid w:val="00CC19A7"/>
    <w:rsid w:val="00CC230D"/>
    <w:rsid w:val="00CC23BB"/>
    <w:rsid w:val="00CC2E2A"/>
    <w:rsid w:val="00CC40FF"/>
    <w:rsid w:val="00CC6803"/>
    <w:rsid w:val="00CD048B"/>
    <w:rsid w:val="00CD156D"/>
    <w:rsid w:val="00CD15D1"/>
    <w:rsid w:val="00CD31F7"/>
    <w:rsid w:val="00CD42AA"/>
    <w:rsid w:val="00CE12B5"/>
    <w:rsid w:val="00CE1403"/>
    <w:rsid w:val="00CE2511"/>
    <w:rsid w:val="00CE6532"/>
    <w:rsid w:val="00CE6A3E"/>
    <w:rsid w:val="00CF2FF1"/>
    <w:rsid w:val="00CF36F2"/>
    <w:rsid w:val="00CF40FA"/>
    <w:rsid w:val="00CF7EB2"/>
    <w:rsid w:val="00D01BBC"/>
    <w:rsid w:val="00D02B61"/>
    <w:rsid w:val="00D03AEC"/>
    <w:rsid w:val="00D03FA1"/>
    <w:rsid w:val="00D10822"/>
    <w:rsid w:val="00D11228"/>
    <w:rsid w:val="00D1122D"/>
    <w:rsid w:val="00D11EDD"/>
    <w:rsid w:val="00D14AA3"/>
    <w:rsid w:val="00D160C8"/>
    <w:rsid w:val="00D171FA"/>
    <w:rsid w:val="00D17CEF"/>
    <w:rsid w:val="00D20A42"/>
    <w:rsid w:val="00D224CC"/>
    <w:rsid w:val="00D23893"/>
    <w:rsid w:val="00D2439E"/>
    <w:rsid w:val="00D243B0"/>
    <w:rsid w:val="00D24B22"/>
    <w:rsid w:val="00D26072"/>
    <w:rsid w:val="00D264CF"/>
    <w:rsid w:val="00D316CB"/>
    <w:rsid w:val="00D3282C"/>
    <w:rsid w:val="00D32CEC"/>
    <w:rsid w:val="00D43410"/>
    <w:rsid w:val="00D4463C"/>
    <w:rsid w:val="00D45398"/>
    <w:rsid w:val="00D45C91"/>
    <w:rsid w:val="00D464A0"/>
    <w:rsid w:val="00D47B19"/>
    <w:rsid w:val="00D51EDB"/>
    <w:rsid w:val="00D549E7"/>
    <w:rsid w:val="00D64210"/>
    <w:rsid w:val="00D6483A"/>
    <w:rsid w:val="00D6490F"/>
    <w:rsid w:val="00D72E48"/>
    <w:rsid w:val="00D7305E"/>
    <w:rsid w:val="00D73BF7"/>
    <w:rsid w:val="00D74B3D"/>
    <w:rsid w:val="00D755B1"/>
    <w:rsid w:val="00D81DE7"/>
    <w:rsid w:val="00D81FE2"/>
    <w:rsid w:val="00D8330F"/>
    <w:rsid w:val="00D85073"/>
    <w:rsid w:val="00D853CD"/>
    <w:rsid w:val="00D871C2"/>
    <w:rsid w:val="00D900EC"/>
    <w:rsid w:val="00D93073"/>
    <w:rsid w:val="00D95EEF"/>
    <w:rsid w:val="00DA1257"/>
    <w:rsid w:val="00DA1A8C"/>
    <w:rsid w:val="00DA39F1"/>
    <w:rsid w:val="00DA47A1"/>
    <w:rsid w:val="00DA48C9"/>
    <w:rsid w:val="00DA4B41"/>
    <w:rsid w:val="00DA4D65"/>
    <w:rsid w:val="00DA7285"/>
    <w:rsid w:val="00DA78FC"/>
    <w:rsid w:val="00DB0E65"/>
    <w:rsid w:val="00DB1126"/>
    <w:rsid w:val="00DB3420"/>
    <w:rsid w:val="00DB728A"/>
    <w:rsid w:val="00DB788B"/>
    <w:rsid w:val="00DB7F2F"/>
    <w:rsid w:val="00DC0324"/>
    <w:rsid w:val="00DC1495"/>
    <w:rsid w:val="00DD061D"/>
    <w:rsid w:val="00DD2AF9"/>
    <w:rsid w:val="00DD2D28"/>
    <w:rsid w:val="00DD3026"/>
    <w:rsid w:val="00DD5A24"/>
    <w:rsid w:val="00DD6A15"/>
    <w:rsid w:val="00DD7264"/>
    <w:rsid w:val="00DD7AE6"/>
    <w:rsid w:val="00DD7CCF"/>
    <w:rsid w:val="00DE134E"/>
    <w:rsid w:val="00DE1A23"/>
    <w:rsid w:val="00DE230E"/>
    <w:rsid w:val="00DE2A6D"/>
    <w:rsid w:val="00DE3BAC"/>
    <w:rsid w:val="00DE4756"/>
    <w:rsid w:val="00DE48D1"/>
    <w:rsid w:val="00DF268E"/>
    <w:rsid w:val="00DF39A7"/>
    <w:rsid w:val="00DF43BB"/>
    <w:rsid w:val="00DF5573"/>
    <w:rsid w:val="00DF692D"/>
    <w:rsid w:val="00DF6A5D"/>
    <w:rsid w:val="00DF7823"/>
    <w:rsid w:val="00DF7BA2"/>
    <w:rsid w:val="00E00986"/>
    <w:rsid w:val="00E019C4"/>
    <w:rsid w:val="00E02949"/>
    <w:rsid w:val="00E0448C"/>
    <w:rsid w:val="00E04654"/>
    <w:rsid w:val="00E063E4"/>
    <w:rsid w:val="00E070E5"/>
    <w:rsid w:val="00E0765A"/>
    <w:rsid w:val="00E116CB"/>
    <w:rsid w:val="00E133B3"/>
    <w:rsid w:val="00E13752"/>
    <w:rsid w:val="00E13DAF"/>
    <w:rsid w:val="00E15908"/>
    <w:rsid w:val="00E160CB"/>
    <w:rsid w:val="00E16E71"/>
    <w:rsid w:val="00E1791B"/>
    <w:rsid w:val="00E22244"/>
    <w:rsid w:val="00E308EE"/>
    <w:rsid w:val="00E30C84"/>
    <w:rsid w:val="00E35198"/>
    <w:rsid w:val="00E36294"/>
    <w:rsid w:val="00E366DE"/>
    <w:rsid w:val="00E36C2F"/>
    <w:rsid w:val="00E41140"/>
    <w:rsid w:val="00E42416"/>
    <w:rsid w:val="00E4353E"/>
    <w:rsid w:val="00E53180"/>
    <w:rsid w:val="00E54D33"/>
    <w:rsid w:val="00E559F6"/>
    <w:rsid w:val="00E55B7A"/>
    <w:rsid w:val="00E57D7D"/>
    <w:rsid w:val="00E60A5F"/>
    <w:rsid w:val="00E61298"/>
    <w:rsid w:val="00E64934"/>
    <w:rsid w:val="00E64CD6"/>
    <w:rsid w:val="00E655E7"/>
    <w:rsid w:val="00E6579B"/>
    <w:rsid w:val="00E70055"/>
    <w:rsid w:val="00E70FCF"/>
    <w:rsid w:val="00E71809"/>
    <w:rsid w:val="00E71933"/>
    <w:rsid w:val="00E73EFE"/>
    <w:rsid w:val="00E74196"/>
    <w:rsid w:val="00E767A4"/>
    <w:rsid w:val="00E770E2"/>
    <w:rsid w:val="00E770E7"/>
    <w:rsid w:val="00E77329"/>
    <w:rsid w:val="00E77D62"/>
    <w:rsid w:val="00E8143E"/>
    <w:rsid w:val="00E818F9"/>
    <w:rsid w:val="00E82CB6"/>
    <w:rsid w:val="00E83504"/>
    <w:rsid w:val="00E83FF6"/>
    <w:rsid w:val="00E87576"/>
    <w:rsid w:val="00E87655"/>
    <w:rsid w:val="00E903A0"/>
    <w:rsid w:val="00E91B21"/>
    <w:rsid w:val="00E93F5C"/>
    <w:rsid w:val="00E967F0"/>
    <w:rsid w:val="00E97AFF"/>
    <w:rsid w:val="00EA39B7"/>
    <w:rsid w:val="00EA4186"/>
    <w:rsid w:val="00EA493C"/>
    <w:rsid w:val="00EA5733"/>
    <w:rsid w:val="00EA6960"/>
    <w:rsid w:val="00EA699D"/>
    <w:rsid w:val="00EA6F18"/>
    <w:rsid w:val="00EB200C"/>
    <w:rsid w:val="00EB218B"/>
    <w:rsid w:val="00EB231D"/>
    <w:rsid w:val="00EB3F19"/>
    <w:rsid w:val="00EB4640"/>
    <w:rsid w:val="00EB5337"/>
    <w:rsid w:val="00EB7602"/>
    <w:rsid w:val="00EC0105"/>
    <w:rsid w:val="00EC4612"/>
    <w:rsid w:val="00EC5AD9"/>
    <w:rsid w:val="00EC6106"/>
    <w:rsid w:val="00ED054C"/>
    <w:rsid w:val="00ED0A4E"/>
    <w:rsid w:val="00ED14D4"/>
    <w:rsid w:val="00ED3A37"/>
    <w:rsid w:val="00ED53D3"/>
    <w:rsid w:val="00EE0291"/>
    <w:rsid w:val="00EE1026"/>
    <w:rsid w:val="00EE33CF"/>
    <w:rsid w:val="00EE3566"/>
    <w:rsid w:val="00EE74B9"/>
    <w:rsid w:val="00EF45BD"/>
    <w:rsid w:val="00F0276C"/>
    <w:rsid w:val="00F030E9"/>
    <w:rsid w:val="00F04A88"/>
    <w:rsid w:val="00F04C37"/>
    <w:rsid w:val="00F05287"/>
    <w:rsid w:val="00F0784D"/>
    <w:rsid w:val="00F07E91"/>
    <w:rsid w:val="00F12516"/>
    <w:rsid w:val="00F141C7"/>
    <w:rsid w:val="00F17D44"/>
    <w:rsid w:val="00F20105"/>
    <w:rsid w:val="00F2058E"/>
    <w:rsid w:val="00F2087F"/>
    <w:rsid w:val="00F20C0E"/>
    <w:rsid w:val="00F22B15"/>
    <w:rsid w:val="00F23DE7"/>
    <w:rsid w:val="00F242B4"/>
    <w:rsid w:val="00F2677D"/>
    <w:rsid w:val="00F26853"/>
    <w:rsid w:val="00F277A3"/>
    <w:rsid w:val="00F30B6F"/>
    <w:rsid w:val="00F31A94"/>
    <w:rsid w:val="00F31BAC"/>
    <w:rsid w:val="00F32EBA"/>
    <w:rsid w:val="00F343F4"/>
    <w:rsid w:val="00F35F93"/>
    <w:rsid w:val="00F37354"/>
    <w:rsid w:val="00F37AC9"/>
    <w:rsid w:val="00F37B62"/>
    <w:rsid w:val="00F411C6"/>
    <w:rsid w:val="00F46155"/>
    <w:rsid w:val="00F4714F"/>
    <w:rsid w:val="00F500B2"/>
    <w:rsid w:val="00F51D52"/>
    <w:rsid w:val="00F528D6"/>
    <w:rsid w:val="00F52CE3"/>
    <w:rsid w:val="00F5359D"/>
    <w:rsid w:val="00F54DFC"/>
    <w:rsid w:val="00F5550E"/>
    <w:rsid w:val="00F55F01"/>
    <w:rsid w:val="00F601F4"/>
    <w:rsid w:val="00F62EE4"/>
    <w:rsid w:val="00F63428"/>
    <w:rsid w:val="00F63819"/>
    <w:rsid w:val="00F63DE4"/>
    <w:rsid w:val="00F63ED5"/>
    <w:rsid w:val="00F66876"/>
    <w:rsid w:val="00F71BF7"/>
    <w:rsid w:val="00F732E1"/>
    <w:rsid w:val="00F74E8C"/>
    <w:rsid w:val="00F76D23"/>
    <w:rsid w:val="00F76E86"/>
    <w:rsid w:val="00F77F0D"/>
    <w:rsid w:val="00F80159"/>
    <w:rsid w:val="00F81176"/>
    <w:rsid w:val="00F81DBE"/>
    <w:rsid w:val="00F82FB1"/>
    <w:rsid w:val="00F850EA"/>
    <w:rsid w:val="00F8615D"/>
    <w:rsid w:val="00F9048B"/>
    <w:rsid w:val="00F92EA3"/>
    <w:rsid w:val="00F93200"/>
    <w:rsid w:val="00F940B1"/>
    <w:rsid w:val="00F9499D"/>
    <w:rsid w:val="00F962DA"/>
    <w:rsid w:val="00F966D5"/>
    <w:rsid w:val="00FA16FB"/>
    <w:rsid w:val="00FA1C3D"/>
    <w:rsid w:val="00FA50EE"/>
    <w:rsid w:val="00FA5957"/>
    <w:rsid w:val="00FA6E85"/>
    <w:rsid w:val="00FA7487"/>
    <w:rsid w:val="00FA7F9C"/>
    <w:rsid w:val="00FB2BDF"/>
    <w:rsid w:val="00FB5CB1"/>
    <w:rsid w:val="00FC1700"/>
    <w:rsid w:val="00FC1E33"/>
    <w:rsid w:val="00FC1FB1"/>
    <w:rsid w:val="00FC2A5D"/>
    <w:rsid w:val="00FC46F4"/>
    <w:rsid w:val="00FC53F7"/>
    <w:rsid w:val="00FC546B"/>
    <w:rsid w:val="00FD178C"/>
    <w:rsid w:val="00FD1C11"/>
    <w:rsid w:val="00FE1A73"/>
    <w:rsid w:val="00FE2156"/>
    <w:rsid w:val="00FE7310"/>
    <w:rsid w:val="00FF12F6"/>
    <w:rsid w:val="00FF188B"/>
    <w:rsid w:val="00FF19BF"/>
    <w:rsid w:val="00FF211E"/>
    <w:rsid w:val="00FF2A85"/>
    <w:rsid w:val="00FF34A4"/>
    <w:rsid w:val="00FF3A7C"/>
    <w:rsid w:val="00FF5A0B"/>
    <w:rsid w:val="00FF5A8B"/>
    <w:rsid w:val="00FF745E"/>
    <w:rsid w:val="014C594F"/>
    <w:rsid w:val="181DB00D"/>
    <w:rsid w:val="30101F74"/>
    <w:rsid w:val="3207E291"/>
    <w:rsid w:val="33552966"/>
    <w:rsid w:val="34C58BC3"/>
    <w:rsid w:val="37274675"/>
    <w:rsid w:val="450A7EA1"/>
    <w:rsid w:val="4F483EE8"/>
    <w:rsid w:val="7465E2B8"/>
    <w:rsid w:val="757227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B02C"/>
  <w15:chartTrackingRefBased/>
  <w15:docId w15:val="{7C640C9F-6389-46A5-98D7-5E448CCC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C4"/>
    <w:pPr>
      <w:ind w:left="720"/>
      <w:contextualSpacing/>
    </w:pPr>
  </w:style>
  <w:style w:type="paragraph" w:styleId="CommentText">
    <w:name w:val="annotation text"/>
    <w:basedOn w:val="Normal"/>
    <w:link w:val="CommentTextChar"/>
    <w:uiPriority w:val="99"/>
    <w:unhideWhenUsed/>
    <w:rsid w:val="008F3CF9"/>
    <w:pPr>
      <w:spacing w:line="240" w:lineRule="auto"/>
    </w:pPr>
    <w:rPr>
      <w:sz w:val="20"/>
      <w:szCs w:val="20"/>
    </w:rPr>
  </w:style>
  <w:style w:type="character" w:customStyle="1" w:styleId="CommentTextChar">
    <w:name w:val="Comment Text Char"/>
    <w:basedOn w:val="DefaultParagraphFont"/>
    <w:link w:val="CommentText"/>
    <w:uiPriority w:val="99"/>
    <w:rsid w:val="008F3CF9"/>
    <w:rPr>
      <w:sz w:val="20"/>
      <w:szCs w:val="20"/>
    </w:rPr>
  </w:style>
  <w:style w:type="character" w:styleId="CommentReference">
    <w:name w:val="annotation reference"/>
    <w:basedOn w:val="DefaultParagraphFont"/>
    <w:uiPriority w:val="99"/>
    <w:semiHidden/>
    <w:unhideWhenUsed/>
    <w:rsid w:val="008F3CF9"/>
    <w:rPr>
      <w:sz w:val="16"/>
      <w:szCs w:val="16"/>
    </w:rPr>
  </w:style>
  <w:style w:type="paragraph" w:styleId="FootnoteText">
    <w:name w:val="footnote text"/>
    <w:basedOn w:val="Normal"/>
    <w:link w:val="FootnoteTextChar"/>
    <w:uiPriority w:val="99"/>
    <w:semiHidden/>
    <w:unhideWhenUsed/>
    <w:rsid w:val="008F3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CF9"/>
    <w:rPr>
      <w:sz w:val="20"/>
      <w:szCs w:val="20"/>
    </w:rPr>
  </w:style>
  <w:style w:type="character" w:styleId="FootnoteReference">
    <w:name w:val="footnote reference"/>
    <w:basedOn w:val="DefaultParagraphFont"/>
    <w:uiPriority w:val="99"/>
    <w:semiHidden/>
    <w:unhideWhenUsed/>
    <w:rsid w:val="008F3CF9"/>
    <w:rPr>
      <w:vertAlign w:val="superscript"/>
    </w:rPr>
  </w:style>
  <w:style w:type="table" w:styleId="TableGrid">
    <w:name w:val="Table Grid"/>
    <w:basedOn w:val="TableNormal"/>
    <w:uiPriority w:val="39"/>
    <w:rsid w:val="0065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E5"/>
  </w:style>
  <w:style w:type="paragraph" w:styleId="Footer">
    <w:name w:val="footer"/>
    <w:basedOn w:val="Normal"/>
    <w:link w:val="FooterChar"/>
    <w:uiPriority w:val="99"/>
    <w:unhideWhenUsed/>
    <w:rsid w:val="0092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E5"/>
  </w:style>
  <w:style w:type="paragraph" w:styleId="Revision">
    <w:name w:val="Revision"/>
    <w:hidden/>
    <w:uiPriority w:val="99"/>
    <w:semiHidden/>
    <w:rsid w:val="00722AC6"/>
    <w:pPr>
      <w:spacing w:after="0" w:line="240" w:lineRule="auto"/>
    </w:pPr>
  </w:style>
  <w:style w:type="paragraph" w:styleId="CommentSubject">
    <w:name w:val="annotation subject"/>
    <w:basedOn w:val="CommentText"/>
    <w:next w:val="CommentText"/>
    <w:link w:val="CommentSubjectChar"/>
    <w:uiPriority w:val="99"/>
    <w:semiHidden/>
    <w:unhideWhenUsed/>
    <w:rsid w:val="00BB6B88"/>
    <w:rPr>
      <w:b/>
      <w:bCs/>
    </w:rPr>
  </w:style>
  <w:style w:type="character" w:customStyle="1" w:styleId="CommentSubjectChar">
    <w:name w:val="Comment Subject Char"/>
    <w:basedOn w:val="CommentTextChar"/>
    <w:link w:val="CommentSubject"/>
    <w:uiPriority w:val="99"/>
    <w:semiHidden/>
    <w:rsid w:val="00BB6B88"/>
    <w:rPr>
      <w:b/>
      <w:bCs/>
      <w:sz w:val="20"/>
      <w:szCs w:val="20"/>
    </w:rPr>
  </w:style>
  <w:style w:type="paragraph" w:styleId="NormalWeb">
    <w:name w:val="Normal (Web)"/>
    <w:basedOn w:val="Normal"/>
    <w:uiPriority w:val="99"/>
    <w:semiHidden/>
    <w:unhideWhenUsed/>
    <w:rsid w:val="006A59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6D2E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D2E40"/>
    <w:rPr>
      <w:rFonts w:ascii="Segoe UI" w:hAnsi="Segoe UI" w:cs="Segoe UI" w:hint="default"/>
      <w:sz w:val="18"/>
      <w:szCs w:val="18"/>
    </w:rPr>
  </w:style>
  <w:style w:type="character" w:styleId="Hyperlink">
    <w:name w:val="Hyperlink"/>
    <w:basedOn w:val="DefaultParagraphFont"/>
    <w:uiPriority w:val="99"/>
    <w:unhideWhenUsed/>
    <w:rsid w:val="00FF5A0B"/>
    <w:rPr>
      <w:color w:val="0563C1" w:themeColor="hyperlink"/>
      <w:u w:val="single"/>
    </w:rPr>
  </w:style>
  <w:style w:type="character" w:styleId="UnresolvedMention">
    <w:name w:val="Unresolved Mention"/>
    <w:basedOn w:val="DefaultParagraphFont"/>
    <w:uiPriority w:val="99"/>
    <w:semiHidden/>
    <w:unhideWhenUsed/>
    <w:rsid w:val="00FF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619">
      <w:bodyDiv w:val="1"/>
      <w:marLeft w:val="0"/>
      <w:marRight w:val="0"/>
      <w:marTop w:val="0"/>
      <w:marBottom w:val="0"/>
      <w:divBdr>
        <w:top w:val="none" w:sz="0" w:space="0" w:color="auto"/>
        <w:left w:val="none" w:sz="0" w:space="0" w:color="auto"/>
        <w:bottom w:val="none" w:sz="0" w:space="0" w:color="auto"/>
        <w:right w:val="none" w:sz="0" w:space="0" w:color="auto"/>
      </w:divBdr>
    </w:div>
    <w:div w:id="247692167">
      <w:bodyDiv w:val="1"/>
      <w:marLeft w:val="0"/>
      <w:marRight w:val="0"/>
      <w:marTop w:val="0"/>
      <w:marBottom w:val="0"/>
      <w:divBdr>
        <w:top w:val="none" w:sz="0" w:space="0" w:color="auto"/>
        <w:left w:val="none" w:sz="0" w:space="0" w:color="auto"/>
        <w:bottom w:val="none" w:sz="0" w:space="0" w:color="auto"/>
        <w:right w:val="none" w:sz="0" w:space="0" w:color="auto"/>
      </w:divBdr>
      <w:divsChild>
        <w:div w:id="844707374">
          <w:marLeft w:val="274"/>
          <w:marRight w:val="0"/>
          <w:marTop w:val="0"/>
          <w:marBottom w:val="120"/>
          <w:divBdr>
            <w:top w:val="none" w:sz="0" w:space="0" w:color="auto"/>
            <w:left w:val="none" w:sz="0" w:space="0" w:color="auto"/>
            <w:bottom w:val="none" w:sz="0" w:space="0" w:color="auto"/>
            <w:right w:val="none" w:sz="0" w:space="0" w:color="auto"/>
          </w:divBdr>
        </w:div>
        <w:div w:id="928004285">
          <w:marLeft w:val="274"/>
          <w:marRight w:val="0"/>
          <w:marTop w:val="0"/>
          <w:marBottom w:val="120"/>
          <w:divBdr>
            <w:top w:val="none" w:sz="0" w:space="0" w:color="auto"/>
            <w:left w:val="none" w:sz="0" w:space="0" w:color="auto"/>
            <w:bottom w:val="none" w:sz="0" w:space="0" w:color="auto"/>
            <w:right w:val="none" w:sz="0" w:space="0" w:color="auto"/>
          </w:divBdr>
        </w:div>
        <w:div w:id="1235625831">
          <w:marLeft w:val="274"/>
          <w:marRight w:val="0"/>
          <w:marTop w:val="0"/>
          <w:marBottom w:val="120"/>
          <w:divBdr>
            <w:top w:val="none" w:sz="0" w:space="0" w:color="auto"/>
            <w:left w:val="none" w:sz="0" w:space="0" w:color="auto"/>
            <w:bottom w:val="none" w:sz="0" w:space="0" w:color="auto"/>
            <w:right w:val="none" w:sz="0" w:space="0" w:color="auto"/>
          </w:divBdr>
        </w:div>
      </w:divsChild>
    </w:div>
    <w:div w:id="332345762">
      <w:bodyDiv w:val="1"/>
      <w:marLeft w:val="0"/>
      <w:marRight w:val="0"/>
      <w:marTop w:val="0"/>
      <w:marBottom w:val="0"/>
      <w:divBdr>
        <w:top w:val="none" w:sz="0" w:space="0" w:color="auto"/>
        <w:left w:val="none" w:sz="0" w:space="0" w:color="auto"/>
        <w:bottom w:val="none" w:sz="0" w:space="0" w:color="auto"/>
        <w:right w:val="none" w:sz="0" w:space="0" w:color="auto"/>
      </w:divBdr>
    </w:div>
    <w:div w:id="885870349">
      <w:bodyDiv w:val="1"/>
      <w:marLeft w:val="0"/>
      <w:marRight w:val="0"/>
      <w:marTop w:val="0"/>
      <w:marBottom w:val="0"/>
      <w:divBdr>
        <w:top w:val="none" w:sz="0" w:space="0" w:color="auto"/>
        <w:left w:val="none" w:sz="0" w:space="0" w:color="auto"/>
        <w:bottom w:val="none" w:sz="0" w:space="0" w:color="auto"/>
        <w:right w:val="none" w:sz="0" w:space="0" w:color="auto"/>
      </w:divBdr>
      <w:divsChild>
        <w:div w:id="79955983">
          <w:marLeft w:val="274"/>
          <w:marRight w:val="0"/>
          <w:marTop w:val="0"/>
          <w:marBottom w:val="120"/>
          <w:divBdr>
            <w:top w:val="none" w:sz="0" w:space="0" w:color="auto"/>
            <w:left w:val="none" w:sz="0" w:space="0" w:color="auto"/>
            <w:bottom w:val="none" w:sz="0" w:space="0" w:color="auto"/>
            <w:right w:val="none" w:sz="0" w:space="0" w:color="auto"/>
          </w:divBdr>
        </w:div>
        <w:div w:id="523979026">
          <w:marLeft w:val="274"/>
          <w:marRight w:val="0"/>
          <w:marTop w:val="0"/>
          <w:marBottom w:val="120"/>
          <w:divBdr>
            <w:top w:val="none" w:sz="0" w:space="0" w:color="auto"/>
            <w:left w:val="none" w:sz="0" w:space="0" w:color="auto"/>
            <w:bottom w:val="none" w:sz="0" w:space="0" w:color="auto"/>
            <w:right w:val="none" w:sz="0" w:space="0" w:color="auto"/>
          </w:divBdr>
        </w:div>
        <w:div w:id="682243110">
          <w:marLeft w:val="274"/>
          <w:marRight w:val="0"/>
          <w:marTop w:val="0"/>
          <w:marBottom w:val="120"/>
          <w:divBdr>
            <w:top w:val="none" w:sz="0" w:space="0" w:color="auto"/>
            <w:left w:val="none" w:sz="0" w:space="0" w:color="auto"/>
            <w:bottom w:val="none" w:sz="0" w:space="0" w:color="auto"/>
            <w:right w:val="none" w:sz="0" w:space="0" w:color="auto"/>
          </w:divBdr>
        </w:div>
      </w:divsChild>
    </w:div>
    <w:div w:id="1028334982">
      <w:bodyDiv w:val="1"/>
      <w:marLeft w:val="0"/>
      <w:marRight w:val="0"/>
      <w:marTop w:val="0"/>
      <w:marBottom w:val="0"/>
      <w:divBdr>
        <w:top w:val="none" w:sz="0" w:space="0" w:color="auto"/>
        <w:left w:val="none" w:sz="0" w:space="0" w:color="auto"/>
        <w:bottom w:val="none" w:sz="0" w:space="0" w:color="auto"/>
        <w:right w:val="none" w:sz="0" w:space="0" w:color="auto"/>
      </w:divBdr>
    </w:div>
    <w:div w:id="1125853066">
      <w:bodyDiv w:val="1"/>
      <w:marLeft w:val="0"/>
      <w:marRight w:val="0"/>
      <w:marTop w:val="0"/>
      <w:marBottom w:val="0"/>
      <w:divBdr>
        <w:top w:val="none" w:sz="0" w:space="0" w:color="auto"/>
        <w:left w:val="none" w:sz="0" w:space="0" w:color="auto"/>
        <w:bottom w:val="none" w:sz="0" w:space="0" w:color="auto"/>
        <w:right w:val="none" w:sz="0" w:space="0" w:color="auto"/>
      </w:divBdr>
      <w:divsChild>
        <w:div w:id="503127504">
          <w:marLeft w:val="274"/>
          <w:marRight w:val="0"/>
          <w:marTop w:val="0"/>
          <w:marBottom w:val="120"/>
          <w:divBdr>
            <w:top w:val="none" w:sz="0" w:space="0" w:color="auto"/>
            <w:left w:val="none" w:sz="0" w:space="0" w:color="auto"/>
            <w:bottom w:val="none" w:sz="0" w:space="0" w:color="auto"/>
            <w:right w:val="none" w:sz="0" w:space="0" w:color="auto"/>
          </w:divBdr>
        </w:div>
        <w:div w:id="528028742">
          <w:marLeft w:val="274"/>
          <w:marRight w:val="0"/>
          <w:marTop w:val="0"/>
          <w:marBottom w:val="120"/>
          <w:divBdr>
            <w:top w:val="none" w:sz="0" w:space="0" w:color="auto"/>
            <w:left w:val="none" w:sz="0" w:space="0" w:color="auto"/>
            <w:bottom w:val="none" w:sz="0" w:space="0" w:color="auto"/>
            <w:right w:val="none" w:sz="0" w:space="0" w:color="auto"/>
          </w:divBdr>
        </w:div>
        <w:div w:id="1141770258">
          <w:marLeft w:val="274"/>
          <w:marRight w:val="0"/>
          <w:marTop w:val="0"/>
          <w:marBottom w:val="120"/>
          <w:divBdr>
            <w:top w:val="none" w:sz="0" w:space="0" w:color="auto"/>
            <w:left w:val="none" w:sz="0" w:space="0" w:color="auto"/>
            <w:bottom w:val="none" w:sz="0" w:space="0" w:color="auto"/>
            <w:right w:val="none" w:sz="0" w:space="0" w:color="auto"/>
          </w:divBdr>
        </w:div>
      </w:divsChild>
    </w:div>
    <w:div w:id="1392388506">
      <w:bodyDiv w:val="1"/>
      <w:marLeft w:val="0"/>
      <w:marRight w:val="0"/>
      <w:marTop w:val="0"/>
      <w:marBottom w:val="0"/>
      <w:divBdr>
        <w:top w:val="none" w:sz="0" w:space="0" w:color="auto"/>
        <w:left w:val="none" w:sz="0" w:space="0" w:color="auto"/>
        <w:bottom w:val="none" w:sz="0" w:space="0" w:color="auto"/>
        <w:right w:val="none" w:sz="0" w:space="0" w:color="auto"/>
      </w:divBdr>
    </w:div>
    <w:div w:id="1405765292">
      <w:bodyDiv w:val="1"/>
      <w:marLeft w:val="0"/>
      <w:marRight w:val="0"/>
      <w:marTop w:val="0"/>
      <w:marBottom w:val="0"/>
      <w:divBdr>
        <w:top w:val="none" w:sz="0" w:space="0" w:color="auto"/>
        <w:left w:val="none" w:sz="0" w:space="0" w:color="auto"/>
        <w:bottom w:val="none" w:sz="0" w:space="0" w:color="auto"/>
        <w:right w:val="none" w:sz="0" w:space="0" w:color="auto"/>
      </w:divBdr>
    </w:div>
    <w:div w:id="1584409580">
      <w:bodyDiv w:val="1"/>
      <w:marLeft w:val="0"/>
      <w:marRight w:val="0"/>
      <w:marTop w:val="0"/>
      <w:marBottom w:val="0"/>
      <w:divBdr>
        <w:top w:val="none" w:sz="0" w:space="0" w:color="auto"/>
        <w:left w:val="none" w:sz="0" w:space="0" w:color="auto"/>
        <w:bottom w:val="none" w:sz="0" w:space="0" w:color="auto"/>
        <w:right w:val="none" w:sz="0" w:space="0" w:color="auto"/>
      </w:divBdr>
    </w:div>
    <w:div w:id="1636637079">
      <w:bodyDiv w:val="1"/>
      <w:marLeft w:val="0"/>
      <w:marRight w:val="0"/>
      <w:marTop w:val="0"/>
      <w:marBottom w:val="0"/>
      <w:divBdr>
        <w:top w:val="none" w:sz="0" w:space="0" w:color="auto"/>
        <w:left w:val="none" w:sz="0" w:space="0" w:color="auto"/>
        <w:bottom w:val="none" w:sz="0" w:space="0" w:color="auto"/>
        <w:right w:val="none" w:sz="0" w:space="0" w:color="auto"/>
      </w:divBdr>
    </w:div>
    <w:div w:id="2121021004">
      <w:bodyDiv w:val="1"/>
      <w:marLeft w:val="0"/>
      <w:marRight w:val="0"/>
      <w:marTop w:val="0"/>
      <w:marBottom w:val="0"/>
      <w:divBdr>
        <w:top w:val="none" w:sz="0" w:space="0" w:color="auto"/>
        <w:left w:val="none" w:sz="0" w:space="0" w:color="auto"/>
        <w:bottom w:val="none" w:sz="0" w:space="0" w:color="auto"/>
        <w:right w:val="none" w:sz="0" w:space="0" w:color="auto"/>
      </w:divBdr>
    </w:div>
    <w:div w:id="2132164316">
      <w:bodyDiv w:val="1"/>
      <w:marLeft w:val="0"/>
      <w:marRight w:val="0"/>
      <w:marTop w:val="0"/>
      <w:marBottom w:val="0"/>
      <w:divBdr>
        <w:top w:val="none" w:sz="0" w:space="0" w:color="auto"/>
        <w:left w:val="none" w:sz="0" w:space="0" w:color="auto"/>
        <w:bottom w:val="none" w:sz="0" w:space="0" w:color="auto"/>
        <w:right w:val="none" w:sz="0" w:space="0" w:color="auto"/>
      </w:divBdr>
      <w:divsChild>
        <w:div w:id="637107637">
          <w:marLeft w:val="274"/>
          <w:marRight w:val="0"/>
          <w:marTop w:val="0"/>
          <w:marBottom w:val="120"/>
          <w:divBdr>
            <w:top w:val="none" w:sz="0" w:space="0" w:color="auto"/>
            <w:left w:val="none" w:sz="0" w:space="0" w:color="auto"/>
            <w:bottom w:val="none" w:sz="0" w:space="0" w:color="auto"/>
            <w:right w:val="none" w:sz="0" w:space="0" w:color="auto"/>
          </w:divBdr>
        </w:div>
        <w:div w:id="1954823009">
          <w:marLeft w:val="274"/>
          <w:marRight w:val="0"/>
          <w:marTop w:val="0"/>
          <w:marBottom w:val="120"/>
          <w:divBdr>
            <w:top w:val="none" w:sz="0" w:space="0" w:color="auto"/>
            <w:left w:val="none" w:sz="0" w:space="0" w:color="auto"/>
            <w:bottom w:val="none" w:sz="0" w:space="0" w:color="auto"/>
            <w:right w:val="none" w:sz="0" w:space="0" w:color="auto"/>
          </w:divBdr>
        </w:div>
        <w:div w:id="1973098244">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ea.org/reports/breakthrough-agenda-report-202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4299F8F658EC4B9A37FFCE9F74F1F1" ma:contentTypeVersion="15" ma:contentTypeDescription="Create a new document." ma:contentTypeScope="" ma:versionID="8caf85a7b74b96031ed45a0d537bb91c">
  <xsd:schema xmlns:xsd="http://www.w3.org/2001/XMLSchema" xmlns:xs="http://www.w3.org/2001/XMLSchema" xmlns:p="http://schemas.microsoft.com/office/2006/metadata/properties" xmlns:ns2="4e4ba58b-07e1-4d55-916c-b3d7aa8a8ae1" xmlns:ns3="265015ab-9d7f-432c-8b5c-d65e93430a34" xmlns:ns4="aaacb922-5235-4a66-b188-303b9b46fbd7" xmlns:ns5="0063f72e-ace3-48fb-9c1f-5b513408b31f" xmlns:ns6="b413c3fd-5a3b-4239-b985-69032e371c04" xmlns:ns7="a8f60570-4bd3-4f2b-950b-a996de8ab151" targetNamespace="http://schemas.microsoft.com/office/2006/metadata/properties" ma:root="true" ma:fieldsID="bd02827ca654a58531d476f6c64d101f" ns2:_="" ns3:_="" ns4:_="" ns5:_="" ns6:_="" ns7:_="">
    <xsd:import namespace="4e4ba58b-07e1-4d55-916c-b3d7aa8a8ae1"/>
    <xsd:import namespace="265015ab-9d7f-432c-8b5c-d65e93430a34"/>
    <xsd:import namespace="aaacb922-5235-4a66-b188-303b9b46fbd7"/>
    <xsd:import namespace="0063f72e-ace3-48fb-9c1f-5b513408b31f"/>
    <xsd:import namespace="b413c3fd-5a3b-4239-b985-69032e371c04"/>
    <xsd:import namespace="a8f60570-4bd3-4f2b-950b-a996de8ab1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Date" minOccurs="0"/>
                <xsd:element ref="ns2:MediaServiceDateTaken" minOccurs="0"/>
                <xsd:element ref="ns2:MediaServiceOCR" minOccurs="0"/>
                <xsd:element ref="ns2:MediaServiceAutoKeyPoints" minOccurs="0"/>
                <xsd:element ref="ns2:MediaServiceKeyPoints" minOccurs="0"/>
                <xsd:element ref="ns4:LegacyData" minOccurs="0"/>
                <xsd:element ref="ns5:Security_x0020_Classification" minOccurs="0"/>
                <xsd:element ref="ns5:Descriptor" minOccurs="0"/>
                <xsd:element ref="ns3:m975189f4ba442ecbf67d4147307b177" minOccurs="0"/>
                <xsd:element ref="ns3:TaxCatchAll" minOccurs="0"/>
                <xsd:element ref="ns3:TaxCatchAllLabel" minOccurs="0"/>
                <xsd:element ref="ns6:Government_x0020_Body" minOccurs="0"/>
                <xsd:element ref="ns6:Date_x0020_Opened" minOccurs="0"/>
                <xsd:element ref="ns6:Date_x0020_Closed" minOccurs="0"/>
                <xsd:element ref="ns7:Retention_x0020_Label"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a58b-07e1-4d55-916c-b3d7aa8a8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Date" ma:index="13" nillable="true" ma:displayName="Date" ma:format="DateOnly" ma:internalName="Date">
      <xsd:simpleType>
        <xsd:restriction base="dms:DateTim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015ab-9d7f-432c-8b5c-d65e93430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m975189f4ba442ecbf67d4147307b177" ma:index="21" nillable="true" ma:taxonomy="true" ma:internalName="m975189f4ba442ecbf67d4147307b177" ma:taxonomyFieldName="Business_x0020_Unit" ma:displayName="Business Unit" ma:default="3;#International Climate Negotiations|4bf2d44c-fd56-4add-95e0-64e8b8e288d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4a26e48-ca32-4c7a-b2fc-d44c3bae7989}" ma:internalName="TaxCatchAll" ma:showField="CatchAllData"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4a26e48-ca32-4c7a-b2fc-d44c3bae7989}" ma:internalName="TaxCatchAllLabel" ma:readOnly="true" ma:showField="CatchAllDataLabel" ma:web="265015ab-9d7f-432c-8b5c-d65e93430a34">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9"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20"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5" nillable="true" ma:displayName="Government Body" ma:default="BEIS" ma:internalName="Government_x0020_Body">
      <xsd:simpleType>
        <xsd:restriction base="dms:Text">
          <xsd:maxLength value="255"/>
        </xsd:restriction>
      </xsd:simpleType>
    </xsd:element>
    <xsd:element name="Date_x0020_Opened" ma:index="26" nillable="true" ma:displayName="Date Opened" ma:default="[Today]" ma:format="DateOnly" ma:internalName="Date_x0020_Opened">
      <xsd:simpleType>
        <xsd:restriction base="dms:DateTime"/>
      </xsd:simpleType>
    </xsd:element>
    <xsd:element name="Date_x0020_Closed" ma:index="27"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8" nillable="true" ma:displayName="Retention Label" ma:internalName="Retention_x0020_Lab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2022-07-27T16:40:19+00:00</Date_x0020_Opened>
    <LegacyData xmlns="aaacb922-5235-4a66-b188-303b9b46fbd7" xsi:nil="true"/>
    <Descriptor xmlns="0063f72e-ace3-48fb-9c1f-5b513408b31f" xsi:nil="true"/>
    <TaxCatchAll xmlns="265015ab-9d7f-432c-8b5c-d65e93430a34">
      <Value>3</Value>
    </TaxCatchAll>
    <m975189f4ba442ecbf67d4147307b177 xmlns="265015ab-9d7f-432c-8b5c-d65e93430a34">
      <Terms xmlns="http://schemas.microsoft.com/office/infopath/2007/PartnerControls">
        <TermInfo xmlns="http://schemas.microsoft.com/office/infopath/2007/PartnerControls">
          <TermName xmlns="http://schemas.microsoft.com/office/infopath/2007/PartnerControls">International Climate Negotiations</TermName>
          <TermId xmlns="http://schemas.microsoft.com/office/infopath/2007/PartnerControls">4bf2d44c-fd56-4add-95e0-64e8b8e288d5</TermId>
        </TermInfo>
      </Terms>
    </m975189f4ba442ecbf67d4147307b177>
    <Date xmlns="4e4ba58b-07e1-4d55-916c-b3d7aa8a8ae1" xsi:nil="true"/>
    <Security_x0020_Classification xmlns="0063f72e-ace3-48fb-9c1f-5b513408b31f">OFFICIAL</Security_x0020_Classification>
    <lcf76f155ced4ddcb4097134ff3c332f xmlns="4e4ba58b-07e1-4d55-916c-b3d7aa8a8ae1">
      <Terms xmlns="http://schemas.microsoft.com/office/infopath/2007/PartnerControls"/>
    </lcf76f155ced4ddcb4097134ff3c332f>
    <Retention_x0020_Label xmlns="a8f60570-4bd3-4f2b-950b-a996de8ab151" xsi:nil="true"/>
    <Date_x0020_Closed xmlns="b413c3fd-5a3b-4239-b985-69032e371c04" xsi:nil="true"/>
    <_dlc_DocId xmlns="265015ab-9d7f-432c-8b5c-d65e93430a34">RWS6AXEKQYJC-1741559874-33054</_dlc_DocId>
    <_dlc_DocIdUrl xmlns="265015ab-9d7f-432c-8b5c-d65e93430a34">
      <Url>https://beisgov.sharepoint.com/sites/COP26HUB/_layouts/15/DocIdRedir.aspx?ID=RWS6AXEKQYJC-1741559874-33054</Url>
      <Description>RWS6AXEKQYJC-1741559874-33054</Description>
    </_dlc_DocIdUrl>
    <SharedWithUsers xmlns="265015ab-9d7f-432c-8b5c-d65e93430a34">
      <UserInfo>
        <DisplayName>Durrant, Paul (BEIS)</DisplayName>
        <AccountId>7856</AccountId>
        <AccountType/>
      </UserInfo>
      <UserInfo>
        <DisplayName>Edwards, Stephanie (NZSI - International Net Zero)</DisplayName>
        <AccountId>707</AccountId>
        <AccountType/>
      </UserInfo>
      <UserInfo>
        <DisplayName>Webber, Edward (NZSI - International Net Zero)</DisplayName>
        <AccountId>1377</AccountId>
        <AccountType/>
      </UserInfo>
      <UserInfo>
        <DisplayName>Humphries, Caroline (NZSI - International Net Zero)</DisplayName>
        <AccountId>34</AccountId>
        <AccountType/>
      </UserInfo>
      <UserInfo>
        <DisplayName>Fisher, Bethany (NZSI - International Net Zero)</DisplayName>
        <AccountId>4361</AccountId>
        <AccountType/>
      </UserInfo>
      <UserInfo>
        <DisplayName>Bascombe, Jasmine (NZSI - International Net Zero)</DisplayName>
        <AccountId>869</AccountId>
        <AccountType/>
      </UserInfo>
      <UserInfo>
        <DisplayName>Wessendorff2, Olivia (NZSI - International Net Zero)</DisplayName>
        <AccountId>4856</AccountId>
        <AccountType/>
      </UserInfo>
      <UserInfo>
        <DisplayName>Mehta2, Mahek (NZSI - International Energy Unit)</DisplayName>
        <AccountId>7476</AccountId>
        <AccountType/>
      </UserInfo>
      <UserInfo>
        <DisplayName>Mendonca Oliveira, Mateus (NZSI - International Net Zero)</DisplayName>
        <AccountId>5033</AccountId>
        <AccountType/>
      </UserInfo>
      <UserInfo>
        <DisplayName>Vignols2, Rebecca (BEIS)</DisplayName>
        <AccountId>7979</AccountId>
        <AccountType/>
      </UserInfo>
      <UserInfo>
        <DisplayName>Jeffrey, Nicholas (NZSI - International Net Zero)</DisplayName>
        <AccountId>4730</AccountId>
        <AccountType/>
      </UserInfo>
      <UserInfo>
        <DisplayName>Dale, Peter (NZSI - International Net Zero)</DisplayName>
        <AccountId>54</AccountId>
        <AccountType/>
      </UserInfo>
      <UserInfo>
        <DisplayName>Noronha, Rachel (NZSI - International Net Zero)</DisplayName>
        <AccountId>3928</AccountId>
        <AccountType/>
      </UserInfo>
      <UserInfo>
        <DisplayName>Anna De Palma</DisplayName>
        <AccountId>10727</AccountId>
        <AccountType/>
      </UserInfo>
      <UserInfo>
        <DisplayName>Abbuehl, Alexandre (NZSI - International Net Zero )</DisplayName>
        <AccountId>10671</AccountId>
        <AccountType/>
      </UserInfo>
      <UserInfo>
        <DisplayName>Bazeley, Amarinda (NZSI - International Net Zero )</DisplayName>
        <AccountId>5072</AccountId>
        <AccountType/>
      </UserInfo>
      <UserInfo>
        <DisplayName>Neale, Isobel (NZSI - International Net Zero)</DisplayName>
        <AccountId>11</AccountId>
        <AccountType/>
      </UserInfo>
      <UserInfo>
        <DisplayName>Morrisroe, Joe (NZSI - International Net Zero)</DisplayName>
        <AccountId>2311</AccountId>
        <AccountType/>
      </UserInfo>
      <UserInfo>
        <DisplayName>Cummins, Stephen (NZBI - Industrial Decarbonisation and Emissions Trading)</DisplayName>
        <AccountId>1742</AccountId>
        <AccountType/>
      </UserInfo>
      <UserInfo>
        <DisplayName>Stock, Tim (NZBI - Industrial Decarbonisation and Emissions Trading)</DisplayName>
        <AccountId>3642</AccountId>
        <AccountType/>
      </UserInfo>
      <UserInfo>
        <DisplayName>Diskin, Christopher (Business Sectors - Infrastructure &amp; Materials)</DisplayName>
        <AccountId>834</AccountId>
        <AccountType/>
      </UserInfo>
      <UserInfo>
        <DisplayName>Salisbury, Amy (Business Sectors - Infrastructure &amp; Materials)</DisplayName>
        <AccountId>2372</AccountId>
        <AccountType/>
      </UserInfo>
      <UserInfo>
        <DisplayName>Mumtaz3, Ayesha (Business Sectors - Infrastructure &amp; Materials)</DisplayName>
        <AccountId>7447</AccountId>
        <AccountType/>
      </UserInfo>
      <UserInfo>
        <DisplayName>Saman, Saher (Business Sectors - Infrastructure &amp; Materials)</DisplayName>
        <AccountId>7420</AccountId>
        <AccountType/>
      </UserInfo>
      <UserInfo>
        <DisplayName>Currie, Fiona (NZSI - International Net Zero)</DisplayName>
        <AccountId>7337</AccountId>
        <AccountType/>
      </UserInfo>
      <UserInfo>
        <DisplayName>Queenan, Jack (NZSI - International Net Zero)</DisplayName>
        <AccountId>1324</AccountId>
        <AccountType/>
      </UserInfo>
      <UserInfo>
        <DisplayName>Bell, Sophie (NZSI - International Net Zero)</DisplayName>
        <AccountId>5533</AccountId>
        <AccountType/>
      </UserInfo>
      <UserInfo>
        <DisplayName>Hughes, Kate (NZSI - International Net Zero)</DisplayName>
        <AccountId>27</AccountId>
        <AccountType/>
      </UserInfo>
    </SharedWithUsers>
  </documentManagement>
</p:properties>
</file>

<file path=customXml/itemProps1.xml><?xml version="1.0" encoding="utf-8"?>
<ds:datastoreItem xmlns:ds="http://schemas.openxmlformats.org/officeDocument/2006/customXml" ds:itemID="{9BD5AE25-8F16-4E09-AE18-6D4434A0DDCD}">
  <ds:schemaRefs>
    <ds:schemaRef ds:uri="http://schemas.microsoft.com/sharepoint/events"/>
  </ds:schemaRefs>
</ds:datastoreItem>
</file>

<file path=customXml/itemProps2.xml><?xml version="1.0" encoding="utf-8"?>
<ds:datastoreItem xmlns:ds="http://schemas.openxmlformats.org/officeDocument/2006/customXml" ds:itemID="{E509F876-6B28-4242-9CC3-425F9711CEA6}">
  <ds:schemaRefs>
    <ds:schemaRef ds:uri="http://schemas.microsoft.com/sharepoint/v3/contenttype/forms"/>
  </ds:schemaRefs>
</ds:datastoreItem>
</file>

<file path=customXml/itemProps3.xml><?xml version="1.0" encoding="utf-8"?>
<ds:datastoreItem xmlns:ds="http://schemas.openxmlformats.org/officeDocument/2006/customXml" ds:itemID="{F3C38BF7-7C27-4316-8E5F-4288BF18E1E6}">
  <ds:schemaRefs>
    <ds:schemaRef ds:uri="http://schemas.openxmlformats.org/officeDocument/2006/bibliography"/>
  </ds:schemaRefs>
</ds:datastoreItem>
</file>

<file path=customXml/itemProps4.xml><?xml version="1.0" encoding="utf-8"?>
<ds:datastoreItem xmlns:ds="http://schemas.openxmlformats.org/officeDocument/2006/customXml" ds:itemID="{5AB544C9-B928-4CFF-A971-2C84E02D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a58b-07e1-4d55-916c-b3d7aa8a8ae1"/>
    <ds:schemaRef ds:uri="265015ab-9d7f-432c-8b5c-d65e93430a34"/>
    <ds:schemaRef ds:uri="aaacb922-5235-4a66-b188-303b9b46fbd7"/>
    <ds:schemaRef ds:uri="0063f72e-ace3-48fb-9c1f-5b513408b31f"/>
    <ds:schemaRef ds:uri="b413c3fd-5a3b-4239-b985-69032e371c04"/>
    <ds:schemaRef ds:uri="a8f60570-4bd3-4f2b-950b-a996de8ab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0B868E-39A2-404C-9FC6-6B1304E9382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265015ab-9d7f-432c-8b5c-d65e93430a34"/>
    <ds:schemaRef ds:uri="4e4ba58b-07e1-4d55-916c-b3d7aa8a8ae1"/>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Morrisroe, Joe (NZSI - International Net Zero)</dc:creator>
  <cp:keywords/>
  <dc:description/>
  <cp:lastModifiedBy>Bazeley, Amarinda (NZSI - International Net Zero )</cp:lastModifiedBy>
  <cp:revision>466</cp:revision>
  <cp:lastPrinted>2022-08-11T06:50:00Z</cp:lastPrinted>
  <dcterms:created xsi:type="dcterms:W3CDTF">2022-08-20T06:42:00Z</dcterms:created>
  <dcterms:modified xsi:type="dcterms:W3CDTF">2022-11-22T09:42:00Z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2022-07-27T14:28:49Z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c3aefff4-8475-4400-88cd-d7e7566379ef</vt:lpwstr>
  </property>
  <property fmtid="{D5CDD505-2E9C-101B-9397-08002B2CF9AE}" pid="8" name="MSIP_Label_ba62f585-b40f-4ab9-bafe-39150f03d124_ContentBits">
    <vt:lpwstr>0</vt:lpwstr>
  </property>
  <property fmtid="{D5CDD505-2E9C-101B-9397-08002B2CF9AE}" pid="9" name="ContentTypeId">
    <vt:lpwstr>0x010100864299F8F658EC4B9A37FFCE9F74F1F1</vt:lpwstr>
  </property>
  <property fmtid="{D5CDD505-2E9C-101B-9397-08002B2CF9AE}" pid="10" name="Business Unit">
    <vt:lpwstr>3;#International Climate Negotiations|4bf2d44c-fd56-4add-95e0-64e8b8e288d5</vt:lpwstr>
  </property>
  <property fmtid="{D5CDD505-2E9C-101B-9397-08002B2CF9AE}" pid="11" name="MediaServiceImageTags">
    <vt:lpwstr/>
  </property>
  <property fmtid="{D5CDD505-2E9C-101B-9397-08002B2CF9AE}" pid="12" name="_dlc_DocIdItemGuid">
    <vt:lpwstr>06d12bbc-b0ee-41f1-8f16-f136bfa4a1fd</vt:lpwstr>
  </property>
</Properties>
</file>